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2554" w14:textId="7DC74AC2" w:rsidR="008334A6" w:rsidRPr="00754BBC" w:rsidRDefault="00434EA8" w:rsidP="00823D2D">
      <w:pPr>
        <w:spacing w:after="0"/>
        <w:jc w:val="center"/>
        <w:rPr>
          <w:rFonts w:ascii="Montserrat" w:hAnsi="Montserrat" w:cs="Times New Roman (Body CS)"/>
          <w:b/>
          <w:bCs/>
          <w:smallCaps/>
          <w:color w:val="236BB1"/>
          <w:sz w:val="32"/>
          <w:szCs w:val="31"/>
        </w:rPr>
      </w:pPr>
      <w:r>
        <w:rPr>
          <w:rFonts w:ascii="Montserrat" w:hAnsi="Montserrat" w:cs="Times New Roman (Body CS)"/>
          <w:b/>
          <w:bCs/>
          <w:smallCaps/>
          <w:color w:val="236BB1"/>
          <w:sz w:val="32"/>
          <w:szCs w:val="31"/>
        </w:rPr>
        <w:t>Talking Points</w:t>
      </w:r>
    </w:p>
    <w:p w14:paraId="343D9D2F" w14:textId="77777777" w:rsidR="00434EA8" w:rsidRDefault="00434EA8" w:rsidP="00434EA8">
      <w:pPr>
        <w:pStyle w:val="paragraph"/>
        <w:spacing w:before="0" w:beforeAutospacing="0" w:after="0" w:afterAutospacing="0" w:line="276" w:lineRule="auto"/>
        <w:textAlignment w:val="baseline"/>
        <w:rPr>
          <w:rFonts w:ascii="Aptos" w:eastAsia="Calibri" w:hAnsi="Aptos" w:cs="Arial"/>
          <w:b/>
          <w:bCs/>
        </w:rPr>
      </w:pPr>
    </w:p>
    <w:p w14:paraId="3AC3E153" w14:textId="77777777" w:rsidR="00434EA8" w:rsidRPr="00356AE7" w:rsidRDefault="00434EA8" w:rsidP="00434EA8">
      <w:pPr>
        <w:pStyle w:val="paragraph"/>
        <w:spacing w:before="0" w:beforeAutospacing="0" w:after="0" w:afterAutospacing="0" w:line="276" w:lineRule="auto"/>
        <w:textAlignment w:val="baseline"/>
        <w:rPr>
          <w:rFonts w:ascii="Aptos" w:hAnsi="Aptos" w:cs="Arial"/>
          <w:b/>
          <w:bCs/>
          <w:color w:val="000000" w:themeColor="text1"/>
          <w:sz w:val="22"/>
          <w:szCs w:val="22"/>
        </w:rPr>
      </w:pPr>
      <w:r w:rsidRPr="00356AE7">
        <w:rPr>
          <w:rStyle w:val="normaltextrun"/>
          <w:rFonts w:ascii="Aptos" w:eastAsiaTheme="majorEastAsia" w:hAnsi="Aptos" w:cs="Arial"/>
          <w:b/>
          <w:bCs/>
          <w:color w:val="000000" w:themeColor="text1"/>
          <w:sz w:val="22"/>
          <w:szCs w:val="22"/>
        </w:rPr>
        <w:t>What to Know About the Practice Changes</w:t>
      </w:r>
    </w:p>
    <w:p w14:paraId="07A81169" w14:textId="77777777" w:rsidR="00434EA8" w:rsidRPr="00356AE7" w:rsidRDefault="00434EA8" w:rsidP="00434EA8">
      <w:pPr>
        <w:pStyle w:val="paragraph"/>
        <w:spacing w:before="0" w:beforeAutospacing="0" w:after="0" w:afterAutospacing="0" w:line="276" w:lineRule="auto"/>
        <w:textAlignment w:val="baseline"/>
        <w:rPr>
          <w:rFonts w:ascii="Aptos" w:eastAsia="Calibri" w:hAnsi="Aptos" w:cs="Arial"/>
          <w:b/>
          <w:bCs/>
          <w:color w:val="000000" w:themeColor="text1"/>
          <w:sz w:val="22"/>
          <w:szCs w:val="22"/>
          <w:u w:val="single"/>
        </w:rPr>
      </w:pPr>
    </w:p>
    <w:p w14:paraId="55B09DF8" w14:textId="77777777" w:rsidR="00434EA8" w:rsidRPr="00356AE7" w:rsidRDefault="00434EA8" w:rsidP="00434EA8">
      <w:pPr>
        <w:pStyle w:val="paragraph"/>
        <w:numPr>
          <w:ilvl w:val="0"/>
          <w:numId w:val="16"/>
        </w:numPr>
        <w:spacing w:before="0" w:beforeAutospacing="0" w:after="0" w:afterAutospacing="0" w:line="276" w:lineRule="auto"/>
        <w:ind w:left="360"/>
        <w:textAlignment w:val="baseline"/>
        <w:rPr>
          <w:rFonts w:ascii="Aptos" w:eastAsia="Calibri" w:hAnsi="Aptos" w:cs="Arial"/>
          <w:color w:val="000000" w:themeColor="text1"/>
          <w:sz w:val="22"/>
          <w:szCs w:val="22"/>
        </w:rPr>
      </w:pPr>
      <w:r w:rsidRPr="00356AE7">
        <w:rPr>
          <w:rFonts w:ascii="Aptos" w:eastAsia="Calibri" w:hAnsi="Aptos" w:cs="Arial"/>
          <w:color w:val="000000" w:themeColor="text1"/>
          <w:sz w:val="22"/>
          <w:szCs w:val="22"/>
        </w:rPr>
        <w:t xml:space="preserve">The implementation date for the practice changes set forth in the settlement agreement—August 17, 2024—is rapidly approaching. </w:t>
      </w:r>
    </w:p>
    <w:p w14:paraId="73A90F1A" w14:textId="77777777" w:rsidR="00434EA8" w:rsidRPr="00356AE7" w:rsidRDefault="00434EA8" w:rsidP="00434EA8">
      <w:pPr>
        <w:pStyle w:val="paragraph"/>
        <w:spacing w:before="0" w:beforeAutospacing="0" w:after="0" w:afterAutospacing="0" w:line="276" w:lineRule="auto"/>
        <w:textAlignment w:val="baseline"/>
        <w:rPr>
          <w:rFonts w:ascii="Aptos" w:eastAsia="Calibri" w:hAnsi="Aptos" w:cs="Arial"/>
          <w:color w:val="000000" w:themeColor="text1"/>
          <w:sz w:val="22"/>
          <w:szCs w:val="22"/>
        </w:rPr>
      </w:pPr>
    </w:p>
    <w:p w14:paraId="37B55ABF" w14:textId="77777777" w:rsidR="00434EA8" w:rsidRPr="00356AE7" w:rsidRDefault="00434EA8" w:rsidP="00434EA8">
      <w:pPr>
        <w:pStyle w:val="ListParagraph"/>
        <w:numPr>
          <w:ilvl w:val="0"/>
          <w:numId w:val="15"/>
        </w:numPr>
        <w:spacing w:after="0" w:line="276" w:lineRule="auto"/>
        <w:ind w:left="360"/>
        <w:contextualSpacing w:val="0"/>
        <w:rPr>
          <w:rFonts w:ascii="Aptos" w:hAnsi="Aptos" w:cs="Arial"/>
          <w:color w:val="000000" w:themeColor="text1"/>
        </w:rPr>
      </w:pPr>
      <w:r w:rsidRPr="00356AE7">
        <w:rPr>
          <w:rFonts w:ascii="Aptos" w:eastAsia="Arial" w:hAnsi="Aptos" w:cs="Arial"/>
          <w:color w:val="000000" w:themeColor="text1"/>
        </w:rPr>
        <w:t xml:space="preserve">Beginning August 17 there are two major changes: </w:t>
      </w:r>
    </w:p>
    <w:p w14:paraId="4367266E" w14:textId="77777777" w:rsidR="00434EA8" w:rsidRPr="00356AE7" w:rsidRDefault="00434EA8" w:rsidP="00434EA8">
      <w:pPr>
        <w:pStyle w:val="ListParagraph"/>
        <w:numPr>
          <w:ilvl w:val="0"/>
          <w:numId w:val="0"/>
        </w:numPr>
        <w:spacing w:after="0" w:line="276" w:lineRule="auto"/>
        <w:ind w:left="360"/>
        <w:contextualSpacing w:val="0"/>
        <w:rPr>
          <w:rFonts w:ascii="Aptos" w:hAnsi="Aptos" w:cs="Arial"/>
          <w:color w:val="000000" w:themeColor="text1"/>
        </w:rPr>
      </w:pPr>
    </w:p>
    <w:p w14:paraId="673A2A04" w14:textId="77777777" w:rsidR="00434EA8" w:rsidRPr="00356AE7" w:rsidRDefault="00434EA8" w:rsidP="00434EA8">
      <w:pPr>
        <w:pStyle w:val="ListParagraph"/>
        <w:numPr>
          <w:ilvl w:val="0"/>
          <w:numId w:val="15"/>
        </w:numPr>
        <w:spacing w:after="0" w:line="276" w:lineRule="auto"/>
        <w:ind w:left="360"/>
        <w:contextualSpacing w:val="0"/>
        <w:rPr>
          <w:rFonts w:ascii="Aptos" w:hAnsi="Aptos" w:cs="Arial"/>
          <w:color w:val="000000" w:themeColor="text1"/>
        </w:rPr>
      </w:pPr>
      <w:r w:rsidRPr="00356AE7">
        <w:rPr>
          <w:rFonts w:ascii="Aptos" w:eastAsia="Arial" w:hAnsi="Aptos" w:cs="Arial"/>
          <w:color w:val="000000" w:themeColor="text1"/>
        </w:rPr>
        <w:t>First, cooperative compensation is prohibited on-MLS, but it is preserved as an option off-MLS through negotiation between consumers and real estate professionals.</w:t>
      </w:r>
      <w:r w:rsidRPr="00356AE7">
        <w:rPr>
          <w:rFonts w:ascii="Aptos" w:eastAsia="Arial" w:hAnsi="Aptos" w:cs="Arial"/>
          <w:color w:val="000000" w:themeColor="text1"/>
        </w:rPr>
        <w:br/>
      </w:r>
    </w:p>
    <w:p w14:paraId="3D6AD669"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Sellers </w:t>
      </w:r>
      <w:r>
        <w:rPr>
          <w:rFonts w:ascii="Aptos" w:eastAsia="Arial" w:hAnsi="Aptos" w:cs="Arial"/>
          <w:color w:val="000000" w:themeColor="text1"/>
        </w:rPr>
        <w:t xml:space="preserve">and brokers </w:t>
      </w:r>
      <w:r w:rsidRPr="00356AE7">
        <w:rPr>
          <w:rFonts w:ascii="Aptos" w:eastAsia="Arial" w:hAnsi="Aptos" w:cs="Arial"/>
          <w:color w:val="000000" w:themeColor="text1"/>
        </w:rPr>
        <w:t>can still offer compensation off an MLS, and they can still offer buyer concessions on an MLS, such as for buyer closing costs.</w:t>
      </w:r>
    </w:p>
    <w:p w14:paraId="46B056C1" w14:textId="77777777" w:rsidR="00434EA8" w:rsidRPr="00356AE7" w:rsidRDefault="00434EA8" w:rsidP="00434EA8">
      <w:pPr>
        <w:pStyle w:val="ListParagraph"/>
        <w:numPr>
          <w:ilvl w:val="0"/>
          <w:numId w:val="0"/>
        </w:numPr>
        <w:spacing w:after="0" w:line="276" w:lineRule="auto"/>
        <w:ind w:left="360"/>
        <w:rPr>
          <w:rFonts w:ascii="Aptos" w:eastAsia="Arial" w:hAnsi="Aptos" w:cs="Arial"/>
          <w:color w:val="000000" w:themeColor="text1"/>
        </w:rPr>
      </w:pPr>
    </w:p>
    <w:p w14:paraId="75FD176E"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Offers of compensation are critical to helping make professional representation more accessible, decrease costs for home buyers to secure these services, increase fair housing opportunities, and increase the potential buyer pool for sellers.</w:t>
      </w:r>
      <w:r w:rsidRPr="00356AE7">
        <w:rPr>
          <w:rFonts w:ascii="Aptos" w:eastAsia="Arial" w:hAnsi="Aptos" w:cs="Arial"/>
          <w:color w:val="000000" w:themeColor="text1"/>
        </w:rPr>
        <w:br/>
      </w:r>
    </w:p>
    <w:p w14:paraId="0978D7B1"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The types of compensation available for buyer brokers will continue to take multiple forms, including fixed-fee commission paid directly by consumers, concession</w:t>
      </w:r>
      <w:r>
        <w:rPr>
          <w:rFonts w:ascii="Aptos" w:eastAsia="Arial" w:hAnsi="Aptos" w:cs="Arial"/>
          <w:color w:val="000000" w:themeColor="text1"/>
        </w:rPr>
        <w:t>s</w:t>
      </w:r>
      <w:r w:rsidRPr="00356AE7">
        <w:rPr>
          <w:rFonts w:ascii="Aptos" w:eastAsia="Arial" w:hAnsi="Aptos" w:cs="Arial"/>
          <w:color w:val="000000" w:themeColor="text1"/>
        </w:rPr>
        <w:t xml:space="preserve"> from the seller, or a portion of the listing broker’s compensation.</w:t>
      </w:r>
      <w:r w:rsidRPr="00356AE7">
        <w:rPr>
          <w:rFonts w:ascii="Aptos" w:eastAsia="Arial" w:hAnsi="Aptos" w:cs="Arial"/>
          <w:color w:val="000000" w:themeColor="text1"/>
        </w:rPr>
        <w:br/>
      </w:r>
    </w:p>
    <w:p w14:paraId="7BF75705"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Ultimately, commissions and fees will remain fully negotiable; the settlement preserves the ability of consumers to negotiate their </w:t>
      </w:r>
      <w:r>
        <w:rPr>
          <w:rFonts w:ascii="Aptos" w:eastAsia="Arial" w:hAnsi="Aptos" w:cs="Arial"/>
          <w:color w:val="000000" w:themeColor="text1"/>
        </w:rPr>
        <w:t>broker’s</w:t>
      </w:r>
      <w:r w:rsidRPr="00356AE7">
        <w:rPr>
          <w:rFonts w:ascii="Aptos" w:eastAsia="Arial" w:hAnsi="Aptos" w:cs="Arial"/>
          <w:color w:val="000000" w:themeColor="text1"/>
        </w:rPr>
        <w:t xml:space="preserve"> compensation. </w:t>
      </w:r>
      <w:r w:rsidRPr="00356AE7">
        <w:rPr>
          <w:rFonts w:ascii="Aptos" w:eastAsia="Arial" w:hAnsi="Aptos" w:cs="Arial"/>
          <w:color w:val="000000" w:themeColor="text1"/>
        </w:rPr>
        <w:br/>
      </w:r>
    </w:p>
    <w:p w14:paraId="5AD26415" w14:textId="77777777" w:rsidR="00434EA8" w:rsidRPr="00356AE7" w:rsidRDefault="00434EA8" w:rsidP="00434EA8">
      <w:pPr>
        <w:pStyle w:val="ListParagraph"/>
        <w:numPr>
          <w:ilvl w:val="0"/>
          <w:numId w:val="15"/>
        </w:numPr>
        <w:spacing w:after="0" w:line="276" w:lineRule="auto"/>
        <w:ind w:left="360"/>
        <w:rPr>
          <w:rFonts w:ascii="Aptos" w:eastAsia="Arial" w:hAnsi="Aptos" w:cs="Arial"/>
          <w:color w:val="000000" w:themeColor="text1"/>
        </w:rPr>
      </w:pPr>
      <w:r w:rsidRPr="00356AE7">
        <w:rPr>
          <w:rFonts w:ascii="Aptos" w:eastAsia="Arial" w:hAnsi="Aptos" w:cs="Arial"/>
          <w:color w:val="000000" w:themeColor="text1"/>
        </w:rPr>
        <w:t xml:space="preserve">Second, beginning August 17, agents </w:t>
      </w:r>
      <w:r>
        <w:rPr>
          <w:rFonts w:ascii="Aptos" w:eastAsia="Arial" w:hAnsi="Aptos" w:cs="Arial"/>
          <w:color w:val="000000" w:themeColor="text1"/>
        </w:rPr>
        <w:t xml:space="preserve">and brokers </w:t>
      </w:r>
      <w:r w:rsidRPr="00356AE7">
        <w:rPr>
          <w:rFonts w:ascii="Aptos" w:eastAsia="Arial" w:hAnsi="Aptos" w:cs="Arial"/>
          <w:color w:val="000000" w:themeColor="text1"/>
        </w:rPr>
        <w:t xml:space="preserve">working with a buyer must enter into a written agreement before touring a home as part of the settlement. </w:t>
      </w:r>
      <w:r w:rsidRPr="00356AE7">
        <w:rPr>
          <w:rFonts w:ascii="Aptos" w:eastAsia="Arial" w:hAnsi="Aptos" w:cs="Arial"/>
          <w:color w:val="000000" w:themeColor="text1"/>
        </w:rPr>
        <w:br/>
      </w:r>
    </w:p>
    <w:p w14:paraId="545670D7"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Written buyer agreements promote a transparent relationship between an agent and a consumer. </w:t>
      </w:r>
      <w:r w:rsidRPr="00356AE7">
        <w:rPr>
          <w:rFonts w:ascii="Aptos" w:eastAsia="Arial" w:hAnsi="Aptos" w:cs="Arial"/>
          <w:color w:val="000000" w:themeColor="text1"/>
        </w:rPr>
        <w:br/>
      </w:r>
    </w:p>
    <w:p w14:paraId="1333C193" w14:textId="77777777" w:rsidR="00434EA8"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The settlement empowers buyers and </w:t>
      </w:r>
      <w:r>
        <w:rPr>
          <w:rFonts w:ascii="Aptos" w:eastAsia="Arial" w:hAnsi="Aptos" w:cs="Arial"/>
          <w:color w:val="000000" w:themeColor="text1"/>
        </w:rPr>
        <w:t>agents</w:t>
      </w:r>
      <w:r w:rsidRPr="00356AE7">
        <w:rPr>
          <w:rFonts w:ascii="Aptos" w:eastAsia="Arial" w:hAnsi="Aptos" w:cs="Arial"/>
          <w:color w:val="000000" w:themeColor="text1"/>
        </w:rPr>
        <w:t xml:space="preserve"> to negotiate and mutually agree to services and compensation that work for them. This means that agents should work with consumers to make sure they fully understand their options, while continuing to seek fair compensation for their services. </w:t>
      </w:r>
    </w:p>
    <w:p w14:paraId="4395D33C" w14:textId="77777777" w:rsidR="00434EA8" w:rsidRDefault="00434EA8" w:rsidP="00434EA8">
      <w:pPr>
        <w:pStyle w:val="ListParagraph"/>
        <w:numPr>
          <w:ilvl w:val="0"/>
          <w:numId w:val="0"/>
        </w:numPr>
        <w:spacing w:after="0" w:line="276" w:lineRule="auto"/>
        <w:ind w:left="1170"/>
        <w:rPr>
          <w:rFonts w:ascii="Aptos" w:eastAsia="Arial" w:hAnsi="Aptos" w:cs="Arial"/>
          <w:color w:val="000000" w:themeColor="text1"/>
        </w:rPr>
      </w:pPr>
    </w:p>
    <w:p w14:paraId="65D56C6D" w14:textId="77777777" w:rsidR="00434EA8" w:rsidRPr="00131096" w:rsidRDefault="00434EA8" w:rsidP="00434EA8">
      <w:pPr>
        <w:pStyle w:val="ListParagraph"/>
        <w:numPr>
          <w:ilvl w:val="1"/>
          <w:numId w:val="15"/>
        </w:numPr>
        <w:spacing w:after="0" w:line="276" w:lineRule="auto"/>
        <w:rPr>
          <w:rFonts w:ascii="Aptos" w:eastAsia="Arial" w:hAnsi="Aptos" w:cs="Arial"/>
          <w:color w:val="000000" w:themeColor="text1"/>
        </w:rPr>
      </w:pPr>
      <w:r>
        <w:rPr>
          <w:rFonts w:ascii="Aptos" w:eastAsia="Arial" w:hAnsi="Aptos" w:cs="Arial"/>
          <w:color w:val="000000" w:themeColor="text1"/>
        </w:rPr>
        <w:t xml:space="preserve">This practice change </w:t>
      </w:r>
      <w:r>
        <w:rPr>
          <w:rFonts w:ascii="Aptos" w:eastAsia="Arial" w:hAnsi="Aptos" w:cs="Arial"/>
          <w:color w:val="000000" w:themeColor="text1"/>
          <w:u w:val="single"/>
        </w:rPr>
        <w:t>does not require an agency relationship</w:t>
      </w:r>
      <w:r>
        <w:rPr>
          <w:rFonts w:ascii="Aptos" w:eastAsia="Arial" w:hAnsi="Aptos" w:cs="Arial"/>
          <w:color w:val="000000" w:themeColor="text1"/>
        </w:rPr>
        <w:t>.</w:t>
      </w:r>
    </w:p>
    <w:p w14:paraId="47AD8450" w14:textId="77777777" w:rsidR="00434EA8" w:rsidRPr="00356AE7" w:rsidRDefault="00434EA8" w:rsidP="00434EA8">
      <w:pPr>
        <w:pStyle w:val="ListParagraph"/>
        <w:numPr>
          <w:ilvl w:val="0"/>
          <w:numId w:val="0"/>
        </w:numPr>
        <w:spacing w:after="0" w:line="276" w:lineRule="auto"/>
        <w:ind w:left="360"/>
        <w:rPr>
          <w:rFonts w:ascii="Aptos" w:eastAsia="Arial" w:hAnsi="Aptos" w:cs="Arial"/>
          <w:color w:val="000000" w:themeColor="text1"/>
        </w:rPr>
      </w:pPr>
    </w:p>
    <w:p w14:paraId="66B9CE6C" w14:textId="77777777" w:rsidR="00434EA8" w:rsidRPr="00356AE7" w:rsidRDefault="00434EA8" w:rsidP="00434EA8">
      <w:pPr>
        <w:pStyle w:val="ListParagraph"/>
        <w:numPr>
          <w:ilvl w:val="0"/>
          <w:numId w:val="15"/>
        </w:numPr>
        <w:spacing w:after="0" w:line="276" w:lineRule="auto"/>
        <w:ind w:left="360"/>
        <w:rPr>
          <w:rFonts w:ascii="Aptos" w:eastAsia="Arial" w:hAnsi="Aptos" w:cs="Arial"/>
          <w:color w:val="000000" w:themeColor="text1"/>
        </w:rPr>
      </w:pPr>
      <w:r w:rsidRPr="00356AE7">
        <w:rPr>
          <w:rFonts w:ascii="Aptos" w:eastAsia="Arial" w:hAnsi="Aptos" w:cs="Arial"/>
          <w:color w:val="000000" w:themeColor="text1"/>
        </w:rPr>
        <w:lastRenderedPageBreak/>
        <w:t xml:space="preserve">Under the settlement agreement, new or revised forms must: </w:t>
      </w:r>
      <w:r w:rsidRPr="00356AE7">
        <w:rPr>
          <w:rFonts w:ascii="Aptos" w:eastAsia="Arial" w:hAnsi="Aptos" w:cs="Arial"/>
          <w:color w:val="000000" w:themeColor="text1"/>
        </w:rPr>
        <w:br/>
      </w:r>
    </w:p>
    <w:p w14:paraId="0130EB84"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Specify and disclose the amount or rate of compensation the agent will receive to the extent that the agent will receive compensation from any source; </w:t>
      </w:r>
      <w:r w:rsidRPr="00356AE7">
        <w:rPr>
          <w:rFonts w:ascii="Aptos" w:eastAsia="Arial" w:hAnsi="Aptos" w:cs="Arial"/>
          <w:color w:val="000000" w:themeColor="text1"/>
        </w:rPr>
        <w:br/>
      </w:r>
    </w:p>
    <w:p w14:paraId="4CC7D81B"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Clearly define how the agent will be compensated, and this must be objectively ascertainable and can’t be open-ended;</w:t>
      </w:r>
      <w:r w:rsidRPr="00356AE7">
        <w:rPr>
          <w:rFonts w:ascii="Aptos" w:eastAsia="Arial" w:hAnsi="Aptos" w:cs="Arial"/>
          <w:color w:val="000000" w:themeColor="text1"/>
        </w:rPr>
        <w:br/>
      </w:r>
    </w:p>
    <w:p w14:paraId="29BA63A5"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Include a statement that the agent may not receive compensation from any source that exceeds what was agreed upon with the buyer; and</w:t>
      </w:r>
      <w:r w:rsidRPr="00356AE7">
        <w:rPr>
          <w:rFonts w:ascii="Aptos" w:eastAsia="Arial" w:hAnsi="Aptos" w:cs="Arial"/>
          <w:color w:val="000000" w:themeColor="text1"/>
        </w:rPr>
        <w:br/>
      </w:r>
    </w:p>
    <w:p w14:paraId="6E8D7C18" w14:textId="77777777" w:rsidR="00434EA8"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Conspicuously disclose that </w:t>
      </w:r>
      <w:r>
        <w:rPr>
          <w:rFonts w:ascii="Aptos" w:eastAsia="Arial" w:hAnsi="Aptos" w:cs="Arial"/>
          <w:color w:val="000000" w:themeColor="text1"/>
        </w:rPr>
        <w:t>agent</w:t>
      </w:r>
      <w:r w:rsidRPr="00356AE7">
        <w:rPr>
          <w:rFonts w:ascii="Aptos" w:eastAsia="Arial" w:hAnsi="Aptos" w:cs="Arial"/>
          <w:color w:val="000000" w:themeColor="text1"/>
        </w:rPr>
        <w:t xml:space="preserve"> commissions are not set by law and are fully negotiable.</w:t>
      </w:r>
    </w:p>
    <w:p w14:paraId="44DE85AD" w14:textId="77777777" w:rsidR="00434EA8" w:rsidRPr="00FD4969" w:rsidRDefault="00434EA8" w:rsidP="00434EA8">
      <w:pPr>
        <w:pStyle w:val="ListParagraph"/>
        <w:numPr>
          <w:ilvl w:val="2"/>
          <w:numId w:val="15"/>
        </w:numPr>
        <w:spacing w:after="0" w:line="276" w:lineRule="auto"/>
        <w:ind w:left="2160"/>
        <w:rPr>
          <w:rFonts w:ascii="Aptos" w:eastAsia="Arial" w:hAnsi="Aptos" w:cs="Arial"/>
          <w:color w:val="000000" w:themeColor="text1"/>
        </w:rPr>
      </w:pPr>
      <w:r>
        <w:rPr>
          <w:rFonts w:ascii="Aptos" w:eastAsia="Arial" w:hAnsi="Aptos" w:cs="Arial"/>
          <w:color w:val="000000" w:themeColor="text1"/>
        </w:rPr>
        <w:t xml:space="preserve">Listing </w:t>
      </w:r>
      <w:r w:rsidRPr="00FD4969">
        <w:rPr>
          <w:rFonts w:ascii="Aptos" w:eastAsia="Arial" w:hAnsi="Aptos" w:cs="Arial"/>
          <w:color w:val="000000" w:themeColor="text1"/>
        </w:rPr>
        <w:t xml:space="preserve">and buyer agreements signed </w:t>
      </w:r>
      <w:r w:rsidRPr="00FD4969">
        <w:rPr>
          <w:rFonts w:ascii="Aptos" w:eastAsia="Arial" w:hAnsi="Aptos" w:cs="Arial"/>
          <w:color w:val="000000" w:themeColor="text1"/>
          <w:u w:val="single"/>
        </w:rPr>
        <w:t>before</w:t>
      </w:r>
      <w:r w:rsidRPr="00FD4969">
        <w:rPr>
          <w:rFonts w:ascii="Aptos" w:eastAsia="Arial" w:hAnsi="Aptos" w:cs="Arial"/>
          <w:color w:val="000000" w:themeColor="text1"/>
        </w:rPr>
        <w:t xml:space="preserve"> August 17 that do not already </w:t>
      </w:r>
      <w:r>
        <w:rPr>
          <w:rFonts w:ascii="Aptos" w:eastAsia="Arial" w:hAnsi="Aptos" w:cs="Arial"/>
          <w:color w:val="000000" w:themeColor="text1"/>
        </w:rPr>
        <w:t>address this must include an additional disclosure to this effect.</w:t>
      </w:r>
      <w:r w:rsidRPr="00FD4969">
        <w:rPr>
          <w:rFonts w:ascii="Aptos" w:eastAsia="Arial" w:hAnsi="Aptos" w:cs="Arial"/>
          <w:color w:val="000000" w:themeColor="text1"/>
        </w:rPr>
        <w:br/>
      </w:r>
    </w:p>
    <w:p w14:paraId="27BB1956"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All NAR members should evaluate new or revised forms with an eye for clarity and emphasis on consumer choice. </w:t>
      </w:r>
      <w:r w:rsidRPr="00356AE7">
        <w:rPr>
          <w:rFonts w:ascii="Aptos" w:eastAsia="Arial" w:hAnsi="Aptos" w:cs="Arial"/>
          <w:color w:val="000000" w:themeColor="text1"/>
        </w:rPr>
        <w:br/>
      </w:r>
    </w:p>
    <w:p w14:paraId="4FC7C9C3" w14:textId="77777777" w:rsidR="00434EA8" w:rsidRDefault="00434EA8" w:rsidP="00434EA8">
      <w:pPr>
        <w:pStyle w:val="ListParagraph"/>
        <w:numPr>
          <w:ilvl w:val="0"/>
          <w:numId w:val="15"/>
        </w:numPr>
        <w:spacing w:after="0" w:line="259" w:lineRule="auto"/>
        <w:ind w:left="360"/>
        <w:rPr>
          <w:rFonts w:ascii="Aptos" w:hAnsi="Aptos"/>
          <w:color w:val="000000" w:themeColor="text1"/>
        </w:rPr>
      </w:pPr>
      <w:r w:rsidRPr="00356AE7">
        <w:rPr>
          <w:rFonts w:ascii="Aptos" w:hAnsi="Aptos"/>
          <w:color w:val="000000" w:themeColor="text1"/>
        </w:rPr>
        <w:t>Similarly, when discussing written buyer agreements, it is important to emphasize that these agreements are negotiable and provide optionality for consumers, and to make sure consumers understand the requirement for an agreement before an in-person or virtual tour.</w:t>
      </w:r>
    </w:p>
    <w:p w14:paraId="3E942FA8" w14:textId="77777777" w:rsidR="00434EA8" w:rsidRDefault="00434EA8" w:rsidP="00434EA8">
      <w:pPr>
        <w:pStyle w:val="ListParagraph"/>
        <w:numPr>
          <w:ilvl w:val="0"/>
          <w:numId w:val="0"/>
        </w:numPr>
        <w:spacing w:after="0"/>
        <w:ind w:left="360"/>
        <w:rPr>
          <w:rFonts w:ascii="Aptos" w:hAnsi="Aptos"/>
          <w:color w:val="000000" w:themeColor="text1"/>
        </w:rPr>
      </w:pPr>
    </w:p>
    <w:p w14:paraId="55F5167F" w14:textId="77777777" w:rsidR="00434EA8" w:rsidRPr="00A305AA" w:rsidRDefault="00434EA8" w:rsidP="00434EA8">
      <w:pPr>
        <w:pStyle w:val="ListParagraph"/>
        <w:numPr>
          <w:ilvl w:val="0"/>
          <w:numId w:val="15"/>
        </w:numPr>
        <w:spacing w:after="0" w:line="259" w:lineRule="auto"/>
        <w:ind w:left="360"/>
        <w:rPr>
          <w:rFonts w:ascii="Aptos" w:hAnsi="Aptos"/>
          <w:color w:val="000000" w:themeColor="text1"/>
        </w:rPr>
      </w:pPr>
      <w:r w:rsidRPr="00A305AA">
        <w:rPr>
          <w:rFonts w:ascii="Aptos" w:hAnsi="Aptos"/>
          <w:color w:val="000000" w:themeColor="text1"/>
        </w:rPr>
        <w:t xml:space="preserve">NAR recommends that all MLSs implement changes by August 17, and REALTOR® MLSs (those owned exclusively by one or more REALTOR® Member Boards) must implement the changes by this date to remain in compliance with NAR policy.    </w:t>
      </w:r>
      <w:r w:rsidRPr="00A305AA">
        <w:rPr>
          <w:rFonts w:ascii="Aptos" w:hAnsi="Aptos"/>
          <w:color w:val="000000" w:themeColor="text1"/>
        </w:rPr>
        <w:br/>
      </w:r>
    </w:p>
    <w:p w14:paraId="366CF781" w14:textId="77777777" w:rsidR="00434EA8" w:rsidRPr="00C67975" w:rsidRDefault="00434EA8" w:rsidP="00434EA8">
      <w:pPr>
        <w:pStyle w:val="ListParagraph"/>
        <w:numPr>
          <w:ilvl w:val="0"/>
          <w:numId w:val="15"/>
        </w:numPr>
        <w:spacing w:after="0" w:line="259" w:lineRule="auto"/>
        <w:ind w:left="360"/>
        <w:rPr>
          <w:rFonts w:ascii="Aptos" w:eastAsia="Calibri" w:hAnsi="Aptos" w:cs="Arial"/>
          <w:color w:val="000000" w:themeColor="text1"/>
          <w:u w:val="single"/>
        </w:rPr>
      </w:pPr>
      <w:r w:rsidRPr="00356AE7">
        <w:rPr>
          <w:rFonts w:ascii="Aptos" w:hAnsi="Aptos"/>
          <w:color w:val="000000" w:themeColor="text1"/>
        </w:rPr>
        <w:t>The practice changes should be implemented fully and in good faith, in the service of promoting consumer empowerment, consumer choice, and healthy competition.</w:t>
      </w:r>
    </w:p>
    <w:p w14:paraId="0D5FE2E3" w14:textId="77777777" w:rsidR="00434EA8" w:rsidRPr="00C67975" w:rsidRDefault="00434EA8" w:rsidP="00434EA8">
      <w:pPr>
        <w:pStyle w:val="ListParagraph"/>
        <w:numPr>
          <w:ilvl w:val="0"/>
          <w:numId w:val="0"/>
        </w:numPr>
        <w:spacing w:after="0"/>
        <w:ind w:left="360"/>
        <w:rPr>
          <w:rFonts w:ascii="Aptos" w:eastAsia="Calibri" w:hAnsi="Aptos" w:cs="Arial"/>
          <w:color w:val="000000" w:themeColor="text1"/>
          <w:u w:val="single"/>
        </w:rPr>
      </w:pPr>
    </w:p>
    <w:p w14:paraId="328FDBD5" w14:textId="77777777" w:rsidR="00434EA8" w:rsidRPr="00C67975" w:rsidRDefault="00434EA8" w:rsidP="00434EA8">
      <w:pPr>
        <w:pStyle w:val="ListParagraph"/>
        <w:numPr>
          <w:ilvl w:val="0"/>
          <w:numId w:val="15"/>
        </w:numPr>
        <w:spacing w:after="0" w:line="259" w:lineRule="auto"/>
        <w:ind w:left="360"/>
        <w:rPr>
          <w:rFonts w:ascii="Aptos" w:eastAsia="Calibri" w:hAnsi="Aptos" w:cs="Arial"/>
          <w:color w:val="000000" w:themeColor="text1"/>
          <w:u w:val="single"/>
        </w:rPr>
      </w:pPr>
      <w:r w:rsidRPr="00C67975">
        <w:rPr>
          <w:rFonts w:ascii="Aptos" w:hAnsi="Aptos"/>
          <w:color w:val="000000" w:themeColor="text1"/>
        </w:rPr>
        <w:t>NAR members must abide by their ethical duty to treat all parties honestly and ensure that while negotiating, they are not treating anyone differently because of their race, sex, national origin, or other protected characteristic.</w:t>
      </w:r>
    </w:p>
    <w:p w14:paraId="53F14B27" w14:textId="77777777" w:rsidR="00434EA8" w:rsidRPr="00C67975" w:rsidRDefault="00434EA8" w:rsidP="00434EA8">
      <w:pPr>
        <w:spacing w:after="0"/>
        <w:rPr>
          <w:rFonts w:ascii="Aptos" w:eastAsia="Calibri" w:hAnsi="Aptos" w:cs="Arial"/>
          <w:color w:val="000000" w:themeColor="text1"/>
          <w:u w:val="single"/>
        </w:rPr>
      </w:pPr>
    </w:p>
    <w:p w14:paraId="6ADCE9A9" w14:textId="77777777" w:rsidR="00434EA8" w:rsidRPr="00356AE7" w:rsidRDefault="00434EA8" w:rsidP="00434EA8">
      <w:pPr>
        <w:spacing w:after="0"/>
        <w:rPr>
          <w:rFonts w:ascii="Aptos" w:hAnsi="Aptos"/>
          <w:b/>
          <w:bCs/>
          <w:color w:val="000000" w:themeColor="text1"/>
        </w:rPr>
      </w:pPr>
      <w:r w:rsidRPr="00356AE7">
        <w:rPr>
          <w:rFonts w:ascii="Aptos" w:hAnsi="Aptos"/>
          <w:b/>
          <w:bCs/>
          <w:color w:val="000000" w:themeColor="text1"/>
        </w:rPr>
        <w:t xml:space="preserve">Supporting Consumers Through the Changes </w:t>
      </w:r>
    </w:p>
    <w:p w14:paraId="37FCF813" w14:textId="77777777" w:rsidR="00434EA8" w:rsidRPr="00356AE7" w:rsidRDefault="00434EA8" w:rsidP="00434EA8">
      <w:pPr>
        <w:spacing w:after="0" w:line="276" w:lineRule="auto"/>
        <w:rPr>
          <w:rFonts w:ascii="Aptos" w:eastAsia="Arial" w:hAnsi="Aptos" w:cs="Arial"/>
          <w:color w:val="000000" w:themeColor="text1"/>
        </w:rPr>
      </w:pPr>
    </w:p>
    <w:p w14:paraId="7EC5B828" w14:textId="77777777" w:rsidR="00434EA8" w:rsidRPr="00356AE7" w:rsidRDefault="00434EA8" w:rsidP="00434EA8">
      <w:pPr>
        <w:pStyle w:val="ListParagraph"/>
        <w:numPr>
          <w:ilvl w:val="0"/>
          <w:numId w:val="15"/>
        </w:numPr>
        <w:spacing w:after="0" w:line="276" w:lineRule="auto"/>
        <w:ind w:left="360"/>
        <w:rPr>
          <w:rFonts w:ascii="Aptos" w:eastAsia="Arial" w:hAnsi="Aptos" w:cs="Arial"/>
          <w:color w:val="000000" w:themeColor="text1"/>
        </w:rPr>
      </w:pPr>
      <w:r w:rsidRPr="00356AE7">
        <w:rPr>
          <w:rFonts w:ascii="Aptos" w:eastAsia="Arial" w:hAnsi="Aptos" w:cs="Arial"/>
          <w:color w:val="000000" w:themeColor="text1"/>
        </w:rPr>
        <w:t xml:space="preserve">As August 17 approaches, consumers will rely on NAR members to help them understand the coming changes and what they mean for them. </w:t>
      </w:r>
      <w:r w:rsidRPr="00356AE7">
        <w:rPr>
          <w:rFonts w:ascii="Aptos" w:hAnsi="Aptos"/>
          <w:color w:val="000000" w:themeColor="text1"/>
        </w:rPr>
        <w:br/>
      </w:r>
    </w:p>
    <w:p w14:paraId="0236CCC6" w14:textId="77777777" w:rsidR="00434EA8" w:rsidRPr="00356AE7" w:rsidRDefault="00434EA8" w:rsidP="00434EA8">
      <w:pPr>
        <w:pStyle w:val="ListParagraph"/>
        <w:numPr>
          <w:ilvl w:val="0"/>
          <w:numId w:val="15"/>
        </w:numPr>
        <w:spacing w:after="0" w:line="259" w:lineRule="auto"/>
        <w:ind w:left="360"/>
        <w:rPr>
          <w:rFonts w:ascii="Aptos" w:hAnsi="Aptos"/>
          <w:color w:val="000000" w:themeColor="text1"/>
        </w:rPr>
      </w:pPr>
      <w:r w:rsidRPr="00356AE7">
        <w:rPr>
          <w:rFonts w:ascii="Aptos" w:hAnsi="Aptos"/>
          <w:color w:val="000000" w:themeColor="text1"/>
        </w:rPr>
        <w:lastRenderedPageBreak/>
        <w:t>This moment is an opportunity for NAR members to demonstrate</w:t>
      </w:r>
      <w:r>
        <w:rPr>
          <w:rFonts w:ascii="Aptos" w:hAnsi="Aptos"/>
          <w:color w:val="000000" w:themeColor="text1"/>
        </w:rPr>
        <w:t xml:space="preserve"> the</w:t>
      </w:r>
      <w:r w:rsidRPr="00356AE7">
        <w:rPr>
          <w:rFonts w:ascii="Aptos" w:hAnsi="Aptos"/>
          <w:color w:val="000000" w:themeColor="text1"/>
        </w:rPr>
        <w:t xml:space="preserve"> value</w:t>
      </w:r>
      <w:r>
        <w:rPr>
          <w:rFonts w:ascii="Aptos" w:hAnsi="Aptos"/>
          <w:color w:val="000000" w:themeColor="text1"/>
        </w:rPr>
        <w:t xml:space="preserve"> they bring to each transaction</w:t>
      </w:r>
      <w:r w:rsidRPr="00356AE7">
        <w:rPr>
          <w:rFonts w:ascii="Aptos" w:hAnsi="Aptos"/>
          <w:color w:val="000000" w:themeColor="text1"/>
        </w:rPr>
        <w:t xml:space="preserve">. </w:t>
      </w:r>
    </w:p>
    <w:p w14:paraId="0B5A6D2C" w14:textId="77777777" w:rsidR="00434EA8" w:rsidRPr="00356AE7" w:rsidRDefault="00434EA8" w:rsidP="00434EA8">
      <w:pPr>
        <w:spacing w:after="0"/>
        <w:rPr>
          <w:rFonts w:ascii="Aptos" w:hAnsi="Aptos"/>
          <w:color w:val="000000" w:themeColor="text1"/>
        </w:rPr>
      </w:pPr>
    </w:p>
    <w:p w14:paraId="271AEF07" w14:textId="77777777" w:rsidR="00434EA8" w:rsidRPr="00356AE7" w:rsidRDefault="00434EA8" w:rsidP="00434EA8">
      <w:pPr>
        <w:pStyle w:val="ListParagraph"/>
        <w:numPr>
          <w:ilvl w:val="0"/>
          <w:numId w:val="15"/>
        </w:numPr>
        <w:spacing w:after="0" w:line="259" w:lineRule="auto"/>
        <w:ind w:left="360"/>
        <w:rPr>
          <w:rFonts w:ascii="Aptos" w:hAnsi="Aptos"/>
          <w:color w:val="000000" w:themeColor="text1"/>
        </w:rPr>
      </w:pPr>
      <w:r w:rsidRPr="00356AE7">
        <w:rPr>
          <w:rFonts w:ascii="Aptos" w:hAnsi="Aptos"/>
          <w:color w:val="000000" w:themeColor="text1"/>
        </w:rPr>
        <w:t>When talking to consumers, focus on what matters to them most. This includes:</w:t>
      </w:r>
      <w:r w:rsidRPr="00356AE7">
        <w:rPr>
          <w:rFonts w:ascii="Aptos" w:hAnsi="Aptos"/>
          <w:color w:val="000000" w:themeColor="text1"/>
        </w:rPr>
        <w:br/>
      </w:r>
    </w:p>
    <w:p w14:paraId="4F50B94C"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Reducing stress in a highly complicated and high-stakes transaction;</w:t>
      </w:r>
      <w:r w:rsidRPr="00356AE7">
        <w:rPr>
          <w:rFonts w:ascii="Aptos" w:eastAsia="Arial" w:hAnsi="Aptos" w:cs="Arial"/>
          <w:color w:val="000000" w:themeColor="text1"/>
        </w:rPr>
        <w:br/>
      </w:r>
    </w:p>
    <w:p w14:paraId="66E17A6D"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Serving as a trusted advisor and demystifying the home buying or selling process; and</w:t>
      </w:r>
      <w:r w:rsidRPr="00356AE7">
        <w:rPr>
          <w:rFonts w:ascii="Aptos" w:eastAsia="Arial" w:hAnsi="Aptos" w:cs="Arial"/>
          <w:color w:val="000000" w:themeColor="text1"/>
        </w:rPr>
        <w:br/>
      </w:r>
    </w:p>
    <w:p w14:paraId="732299B6" w14:textId="77777777" w:rsidR="00434EA8" w:rsidRPr="00356AE7" w:rsidRDefault="00434EA8" w:rsidP="00434EA8">
      <w:pPr>
        <w:pStyle w:val="ListParagraph"/>
        <w:numPr>
          <w:ilvl w:val="1"/>
          <w:numId w:val="15"/>
        </w:numPr>
        <w:spacing w:after="0" w:line="276" w:lineRule="auto"/>
        <w:rPr>
          <w:rFonts w:ascii="Aptos" w:hAnsi="Aptos"/>
          <w:color w:val="000000" w:themeColor="text1"/>
        </w:rPr>
      </w:pPr>
      <w:r w:rsidRPr="00356AE7">
        <w:rPr>
          <w:rFonts w:ascii="Aptos" w:eastAsia="Arial" w:hAnsi="Aptos" w:cs="Arial"/>
          <w:color w:val="000000" w:themeColor="text1"/>
        </w:rPr>
        <w:t>Using your extensive experience to navigate difficult negotiations, write the best offer possible, set the right price for a listing, and help consumers avoid common mistakes.</w:t>
      </w:r>
      <w:r w:rsidRPr="00356AE7">
        <w:rPr>
          <w:rFonts w:ascii="Aptos" w:hAnsi="Aptos"/>
          <w:color w:val="000000" w:themeColor="text1"/>
        </w:rPr>
        <w:br/>
      </w:r>
    </w:p>
    <w:p w14:paraId="116FCD76" w14:textId="77777777" w:rsidR="00434EA8" w:rsidRPr="00356AE7" w:rsidRDefault="00434EA8" w:rsidP="00434EA8">
      <w:pPr>
        <w:pStyle w:val="ListParagraph"/>
        <w:numPr>
          <w:ilvl w:val="0"/>
          <w:numId w:val="15"/>
        </w:numPr>
        <w:spacing w:after="0" w:line="259" w:lineRule="auto"/>
        <w:ind w:left="360"/>
        <w:rPr>
          <w:rFonts w:ascii="Aptos" w:hAnsi="Aptos"/>
          <w:color w:val="000000" w:themeColor="text1"/>
        </w:rPr>
      </w:pPr>
      <w:r w:rsidRPr="00356AE7">
        <w:rPr>
          <w:rFonts w:ascii="Aptos" w:hAnsi="Aptos"/>
          <w:color w:val="000000" w:themeColor="text1"/>
        </w:rPr>
        <w:t>Always use clear, consumer-friendly language when discussing commissions and the changes to MLS policies, including:</w:t>
      </w:r>
      <w:r w:rsidRPr="00356AE7">
        <w:rPr>
          <w:rFonts w:ascii="Aptos" w:hAnsi="Aptos"/>
          <w:color w:val="000000" w:themeColor="text1"/>
        </w:rPr>
        <w:br/>
      </w:r>
    </w:p>
    <w:p w14:paraId="0929E264"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What an MLS is; and </w:t>
      </w:r>
      <w:r w:rsidRPr="00356AE7">
        <w:rPr>
          <w:rFonts w:ascii="Aptos" w:eastAsia="Arial" w:hAnsi="Aptos" w:cs="Arial"/>
          <w:color w:val="000000" w:themeColor="text1"/>
        </w:rPr>
        <w:br/>
      </w:r>
    </w:p>
    <w:p w14:paraId="26DEC47C" w14:textId="77777777" w:rsidR="00434EA8" w:rsidRPr="00356AE7" w:rsidRDefault="00434EA8" w:rsidP="00434EA8">
      <w:pPr>
        <w:pStyle w:val="ListParagraph"/>
        <w:numPr>
          <w:ilvl w:val="1"/>
          <w:numId w:val="15"/>
        </w:numPr>
        <w:spacing w:after="0" w:line="276" w:lineRule="auto"/>
        <w:rPr>
          <w:rFonts w:ascii="Aptos" w:hAnsi="Aptos"/>
          <w:color w:val="000000" w:themeColor="text1"/>
        </w:rPr>
      </w:pPr>
      <w:r w:rsidRPr="00356AE7">
        <w:rPr>
          <w:rFonts w:ascii="Aptos" w:eastAsia="Arial" w:hAnsi="Aptos" w:cs="Arial"/>
          <w:color w:val="000000" w:themeColor="text1"/>
        </w:rPr>
        <w:t xml:space="preserve">What will and won’t be offered on MLS—it is important to </w:t>
      </w:r>
      <w:r>
        <w:rPr>
          <w:rFonts w:ascii="Aptos" w:eastAsia="Arial" w:hAnsi="Aptos" w:cs="Arial"/>
          <w:color w:val="000000" w:themeColor="text1"/>
        </w:rPr>
        <w:t>explain</w:t>
      </w:r>
      <w:r w:rsidRPr="00356AE7">
        <w:rPr>
          <w:rFonts w:ascii="Aptos" w:eastAsia="Arial" w:hAnsi="Aptos" w:cs="Arial"/>
          <w:color w:val="000000" w:themeColor="text1"/>
        </w:rPr>
        <w:t xml:space="preserve"> that commissions are always negotiable and </w:t>
      </w:r>
      <w:r>
        <w:rPr>
          <w:rFonts w:ascii="Aptos" w:eastAsia="Arial" w:hAnsi="Aptos" w:cs="Arial"/>
          <w:color w:val="000000" w:themeColor="text1"/>
        </w:rPr>
        <w:t xml:space="preserve">not </w:t>
      </w:r>
      <w:r w:rsidRPr="00356AE7">
        <w:rPr>
          <w:rFonts w:ascii="Aptos" w:eastAsia="Arial" w:hAnsi="Aptos" w:cs="Arial"/>
          <w:color w:val="000000" w:themeColor="text1"/>
        </w:rPr>
        <w:t>set by law, what cooperative compensation is, and how commissions will be paid.</w:t>
      </w:r>
      <w:r w:rsidRPr="00356AE7">
        <w:rPr>
          <w:rFonts w:ascii="Aptos" w:hAnsi="Aptos"/>
          <w:color w:val="000000" w:themeColor="text1"/>
        </w:rPr>
        <w:br/>
      </w:r>
    </w:p>
    <w:p w14:paraId="4B249EB1" w14:textId="77777777" w:rsidR="00434EA8" w:rsidRPr="00C078CF" w:rsidRDefault="00434EA8" w:rsidP="00434EA8">
      <w:pPr>
        <w:pStyle w:val="ListParagraph"/>
        <w:numPr>
          <w:ilvl w:val="0"/>
          <w:numId w:val="15"/>
        </w:numPr>
        <w:spacing w:after="0" w:line="259" w:lineRule="auto"/>
        <w:ind w:left="360"/>
        <w:rPr>
          <w:rFonts w:ascii="Aptos" w:hAnsi="Aptos"/>
          <w:color w:val="000000" w:themeColor="text1"/>
        </w:rPr>
      </w:pPr>
      <w:r w:rsidRPr="00356AE7">
        <w:rPr>
          <w:rFonts w:ascii="Aptos" w:hAnsi="Aptos"/>
          <w:color w:val="000000" w:themeColor="text1"/>
        </w:rPr>
        <w:t>For example, NAR members can explain that:</w:t>
      </w:r>
    </w:p>
    <w:p w14:paraId="56E8B761"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Offers of compensation</w:t>
      </w:r>
      <w:r>
        <w:rPr>
          <w:rFonts w:ascii="Aptos" w:eastAsia="Arial" w:hAnsi="Aptos" w:cs="Arial"/>
          <w:color w:val="000000" w:themeColor="text1"/>
        </w:rPr>
        <w:t>, if they are made,</w:t>
      </w:r>
      <w:r w:rsidRPr="00356AE7">
        <w:rPr>
          <w:rFonts w:ascii="Aptos" w:eastAsia="Arial" w:hAnsi="Aptos" w:cs="Arial"/>
          <w:color w:val="000000" w:themeColor="text1"/>
        </w:rPr>
        <w:t xml:space="preserve"> are no longer allowed on MLSs—local marketplaces used by both buyer brokers and listing brokers to share information about home inventory.</w:t>
      </w:r>
      <w:r w:rsidRPr="00356AE7">
        <w:rPr>
          <w:rFonts w:ascii="Aptos" w:eastAsia="Arial" w:hAnsi="Aptos" w:cs="Arial"/>
          <w:color w:val="000000" w:themeColor="text1"/>
        </w:rPr>
        <w:br/>
      </w:r>
    </w:p>
    <w:p w14:paraId="38CFDE3A" w14:textId="77777777" w:rsidR="00434EA8" w:rsidRPr="00356AE7" w:rsidRDefault="00434EA8" w:rsidP="00434EA8">
      <w:pPr>
        <w:pStyle w:val="ListParagraph"/>
        <w:numPr>
          <w:ilvl w:val="1"/>
          <w:numId w:val="15"/>
        </w:numPr>
        <w:spacing w:after="0" w:line="276" w:lineRule="auto"/>
        <w:rPr>
          <w:rFonts w:ascii="Aptos" w:eastAsia="Calibri" w:hAnsi="Aptos" w:cs="Arial"/>
          <w:color w:val="000000" w:themeColor="text1"/>
        </w:rPr>
      </w:pPr>
      <w:r w:rsidRPr="00356AE7">
        <w:rPr>
          <w:rFonts w:ascii="Aptos" w:eastAsia="Arial" w:hAnsi="Aptos" w:cs="Arial"/>
          <w:color w:val="000000" w:themeColor="text1"/>
        </w:rPr>
        <w:t xml:space="preserve">However, listing brokers can still make offers of compensation off-MLS, and sellers </w:t>
      </w:r>
      <w:r>
        <w:rPr>
          <w:rFonts w:ascii="Aptos" w:eastAsia="Arial" w:hAnsi="Aptos" w:cs="Arial"/>
          <w:color w:val="000000" w:themeColor="text1"/>
        </w:rPr>
        <w:t xml:space="preserve">and brokers </w:t>
      </w:r>
      <w:r w:rsidRPr="00356AE7">
        <w:rPr>
          <w:rFonts w:ascii="Aptos" w:eastAsia="Arial" w:hAnsi="Aptos" w:cs="Arial"/>
          <w:color w:val="000000" w:themeColor="text1"/>
        </w:rPr>
        <w:t>can still offer buyer concessions on an MLS (for example, concessions for buyer closing costs)</w:t>
      </w:r>
      <w:r w:rsidRPr="00356AE7">
        <w:rPr>
          <w:rFonts w:ascii="Aptos" w:eastAsia="Calibri" w:hAnsi="Aptos" w:cs="Arial"/>
          <w:color w:val="000000" w:themeColor="text1"/>
        </w:rPr>
        <w:br/>
      </w:r>
    </w:p>
    <w:p w14:paraId="198D36AE" w14:textId="77777777" w:rsidR="00434EA8" w:rsidRPr="00356AE7" w:rsidRDefault="00434EA8" w:rsidP="00434EA8">
      <w:pPr>
        <w:pStyle w:val="ListParagraph"/>
        <w:numPr>
          <w:ilvl w:val="0"/>
          <w:numId w:val="15"/>
        </w:numPr>
        <w:spacing w:after="0" w:line="259" w:lineRule="auto"/>
        <w:ind w:left="360"/>
        <w:rPr>
          <w:rFonts w:ascii="Aptos" w:eastAsia="Calibri" w:hAnsi="Aptos" w:cs="Arial"/>
          <w:color w:val="000000" w:themeColor="text1"/>
        </w:rPr>
      </w:pPr>
      <w:r w:rsidRPr="00356AE7">
        <w:rPr>
          <w:rFonts w:ascii="Aptos" w:hAnsi="Aptos"/>
          <w:color w:val="000000" w:themeColor="text1"/>
        </w:rPr>
        <w:t>Explain that consumers will need to sign a written agreement with their agent before touring a home so that they understand exactly what services and value will be provided, and for how much.</w:t>
      </w:r>
      <w:r w:rsidRPr="00356AE7">
        <w:rPr>
          <w:rFonts w:ascii="Aptos" w:eastAsia="Calibri" w:hAnsi="Aptos" w:cs="Arial"/>
          <w:color w:val="000000" w:themeColor="text1"/>
        </w:rPr>
        <w:br/>
      </w:r>
    </w:p>
    <w:p w14:paraId="5977825B"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Emphasize that these agreements are negotiable and provide optionality for consumers. </w:t>
      </w:r>
      <w:r w:rsidRPr="00356AE7">
        <w:rPr>
          <w:rFonts w:ascii="Aptos" w:eastAsia="Arial" w:hAnsi="Aptos" w:cs="Arial"/>
          <w:color w:val="000000" w:themeColor="text1"/>
        </w:rPr>
        <w:br/>
      </w:r>
    </w:p>
    <w:p w14:paraId="58D0D265"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Agreements will be crafted to best meet the needs of the consumer including how long it lasts, what level of services will be provided, and a how an agent will be </w:t>
      </w:r>
      <w:r w:rsidRPr="00356AE7">
        <w:rPr>
          <w:rFonts w:ascii="Aptos" w:eastAsia="Arial" w:hAnsi="Aptos" w:cs="Arial"/>
          <w:color w:val="000000" w:themeColor="text1"/>
        </w:rPr>
        <w:lastRenderedPageBreak/>
        <w:t xml:space="preserve">compensated. </w:t>
      </w:r>
      <w:r w:rsidRPr="00356AE7">
        <w:rPr>
          <w:rFonts w:ascii="Aptos" w:eastAsia="Arial" w:hAnsi="Aptos" w:cs="Arial"/>
          <w:color w:val="000000" w:themeColor="text1"/>
        </w:rPr>
        <w:br/>
      </w:r>
    </w:p>
    <w:p w14:paraId="5E2457C3" w14:textId="77777777" w:rsidR="00434EA8" w:rsidRPr="00356AE7" w:rsidRDefault="00434EA8" w:rsidP="00434EA8">
      <w:pPr>
        <w:pStyle w:val="ListParagraph"/>
        <w:numPr>
          <w:ilvl w:val="1"/>
          <w:numId w:val="15"/>
        </w:numPr>
        <w:spacing w:after="0" w:line="276" w:lineRule="auto"/>
        <w:rPr>
          <w:rFonts w:ascii="Aptos" w:eastAsia="Arial" w:hAnsi="Aptos" w:cs="Arial"/>
          <w:color w:val="000000" w:themeColor="text1"/>
        </w:rPr>
      </w:pPr>
      <w:r w:rsidRPr="00356AE7">
        <w:rPr>
          <w:rFonts w:ascii="Aptos" w:eastAsia="Arial" w:hAnsi="Aptos" w:cs="Arial"/>
          <w:color w:val="000000" w:themeColor="text1"/>
        </w:rPr>
        <w:t xml:space="preserve">Make sure consumers understand the requirement for an agreement before any in-person or virtual tour. </w:t>
      </w:r>
    </w:p>
    <w:p w14:paraId="3A35E31A" w14:textId="7FBDCA3F" w:rsidR="0013358E" w:rsidRPr="00754BBC" w:rsidRDefault="0013358E" w:rsidP="00434EA8">
      <w:pPr>
        <w:pStyle w:val="ListParagraph"/>
        <w:numPr>
          <w:ilvl w:val="0"/>
          <w:numId w:val="0"/>
        </w:numPr>
        <w:spacing w:after="0" w:line="240" w:lineRule="auto"/>
        <w:ind w:left="360"/>
        <w:contextualSpacing w:val="0"/>
        <w:rPr>
          <w:rFonts w:ascii="Montserrat" w:hAnsi="Montserrat" w:cstheme="minorHAnsi"/>
          <w:sz w:val="20"/>
          <w:szCs w:val="20"/>
        </w:rPr>
      </w:pPr>
    </w:p>
    <w:sectPr w:rsidR="0013358E" w:rsidRPr="00754BBC" w:rsidSect="008334A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ABC1" w14:textId="77777777" w:rsidR="00D5275F" w:rsidRDefault="00D5275F" w:rsidP="00823D2D">
      <w:pPr>
        <w:spacing w:after="0" w:line="240" w:lineRule="auto"/>
      </w:pPr>
      <w:r>
        <w:separator/>
      </w:r>
    </w:p>
  </w:endnote>
  <w:endnote w:type="continuationSeparator" w:id="0">
    <w:p w14:paraId="3814C228" w14:textId="77777777" w:rsidR="00D5275F" w:rsidRDefault="00D5275F" w:rsidP="0082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B65F" w14:textId="01B1ECF8" w:rsidR="000E62AF" w:rsidRDefault="00754BBC" w:rsidP="000E62AF">
    <w:pPr>
      <w:spacing w:after="0"/>
      <w:rPr>
        <w:rFonts w:cstheme="minorHAnsi"/>
        <w:b/>
        <w:bCs/>
        <w:color w:val="FF0000"/>
      </w:rPr>
    </w:pPr>
    <w:r w:rsidRPr="00D26FBF">
      <w:rPr>
        <w:noProof/>
      </w:rPr>
      <w:drawing>
        <wp:anchor distT="0" distB="0" distL="114300" distR="114300" simplePos="0" relativeHeight="251661312" behindDoc="1" locked="0" layoutInCell="1" allowOverlap="1" wp14:anchorId="036A99B8" wp14:editId="21DCA227">
          <wp:simplePos x="0" y="0"/>
          <wp:positionH relativeFrom="page">
            <wp:align>left</wp:align>
          </wp:positionH>
          <wp:positionV relativeFrom="paragraph">
            <wp:posOffset>-780415</wp:posOffset>
          </wp:positionV>
          <wp:extent cx="1551305" cy="2037080"/>
          <wp:effectExtent l="0" t="0" r="0" b="1270"/>
          <wp:wrapNone/>
          <wp:docPr id="2112836946" name="Picture 4" descr="A picture containing graphical user interface&#10;&#10;Description automatically generated">
            <a:extLst xmlns:a="http://schemas.openxmlformats.org/drawingml/2006/main">
              <a:ext uri="{FF2B5EF4-FFF2-40B4-BE49-F238E27FC236}">
                <a16:creationId xmlns:a16="http://schemas.microsoft.com/office/drawing/2014/main" id="{0AF801F5-E9C9-A763-864C-05FD8195CD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0AF801F5-E9C9-A763-864C-05FD8195CD03}"/>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80357" r="80638" b="-4"/>
                  <a:stretch/>
                </pic:blipFill>
                <pic:spPr bwMode="auto">
                  <a:xfrm>
                    <a:off x="0" y="0"/>
                    <a:ext cx="1551305" cy="2037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6107B1" w14:textId="67E4ED4A" w:rsidR="000E62AF" w:rsidRPr="00045D0C" w:rsidRDefault="000E62AF" w:rsidP="000E62AF">
    <w:pPr>
      <w:spacing w:after="0"/>
      <w:rPr>
        <w:rFonts w:ascii="Aptos" w:hAnsi="Aptos" w:cstheme="minorHAnsi"/>
        <w:b/>
        <w:bCs/>
        <w:color w:val="FF0000"/>
        <w:sz w:val="18"/>
        <w:szCs w:val="18"/>
      </w:rPr>
    </w:pPr>
    <w:r w:rsidRPr="00045D0C">
      <w:rPr>
        <w:rFonts w:ascii="Aptos" w:hAnsi="Aptos" w:cstheme="minorHAnsi"/>
        <w:b/>
        <w:i/>
        <w:sz w:val="18"/>
        <w:szCs w:val="18"/>
      </w:rPr>
      <w:t xml:space="preserve">VISIT </w:t>
    </w:r>
    <w:hyperlink r:id="rId2" w:history="1">
      <w:r w:rsidRPr="00045D0C">
        <w:rPr>
          <w:rStyle w:val="Hyperlink"/>
          <w:rFonts w:ascii="Aptos" w:hAnsi="Aptos" w:cstheme="minorHAnsi"/>
          <w:b/>
          <w:i/>
          <w:sz w:val="18"/>
          <w:szCs w:val="18"/>
        </w:rPr>
        <w:t>FACTS.REALTOR</w:t>
      </w:r>
    </w:hyperlink>
    <w:r w:rsidRPr="00045D0C">
      <w:rPr>
        <w:rFonts w:ascii="Aptos" w:hAnsi="Aptos" w:cstheme="minorHAnsi"/>
        <w:b/>
        <w:i/>
        <w:sz w:val="18"/>
        <w:szCs w:val="18"/>
      </w:rPr>
      <w:t xml:space="preserve"> FOR ADDITIONAL RESOURCES AND ANSWERS TO FREQUENTLY ASKED QUESTIONS. THE INFORMATION PROVIDED HEREIN IS FOR INFORMATIONAL PURPOSES ONLY AND IS NOT A SUBSTITUTE FOR LEGAL ADVICE OR FOR THE TERMS OF THE </w:t>
    </w:r>
    <w:r w:rsidR="00244654">
      <w:rPr>
        <w:rFonts w:ascii="Aptos" w:hAnsi="Aptos" w:cstheme="minorHAnsi"/>
        <w:b/>
        <w:i/>
        <w:sz w:val="18"/>
        <w:szCs w:val="18"/>
      </w:rPr>
      <w:t xml:space="preserve">NAR </w:t>
    </w:r>
    <w:r w:rsidRPr="00045D0C">
      <w:rPr>
        <w:rFonts w:ascii="Aptos" w:hAnsi="Aptos" w:cstheme="minorHAnsi"/>
        <w:b/>
        <w:i/>
        <w:sz w:val="18"/>
        <w:szCs w:val="18"/>
      </w:rPr>
      <w:t>SETTLEMENT ITSELF. PLEASE CONSULT YOUR LEGAL COUNSEL.</w:t>
    </w:r>
  </w:p>
  <w:p w14:paraId="2779C968" w14:textId="0A15CEF9" w:rsidR="000E62AF" w:rsidRDefault="000E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3E43" w14:textId="77777777" w:rsidR="00D5275F" w:rsidRDefault="00D5275F" w:rsidP="00823D2D">
      <w:pPr>
        <w:spacing w:after="0" w:line="240" w:lineRule="auto"/>
      </w:pPr>
      <w:r>
        <w:separator/>
      </w:r>
    </w:p>
  </w:footnote>
  <w:footnote w:type="continuationSeparator" w:id="0">
    <w:p w14:paraId="6380575D" w14:textId="77777777" w:rsidR="00D5275F" w:rsidRDefault="00D5275F" w:rsidP="0082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68B0" w14:textId="667A6DC5" w:rsidR="00823D2D" w:rsidRPr="00045D0C" w:rsidRDefault="00754BBC" w:rsidP="00A75B01">
    <w:pPr>
      <w:pStyle w:val="Header"/>
      <w:rPr>
        <w:rFonts w:ascii="Aptos" w:hAnsi="Aptos"/>
        <w:b/>
        <w:bCs/>
        <w:color w:val="FF0000"/>
        <w:sz w:val="20"/>
        <w:szCs w:val="20"/>
      </w:rPr>
    </w:pPr>
    <w:r>
      <w:rPr>
        <w:rFonts w:ascii="Montserrat" w:hAnsi="Montserrat"/>
        <w:b/>
        <w:bCs/>
        <w:noProof/>
        <w:color w:val="38A6DE"/>
        <w:sz w:val="28"/>
        <w:szCs w:val="28"/>
      </w:rPr>
      <w:drawing>
        <wp:anchor distT="0" distB="0" distL="114300" distR="114300" simplePos="0" relativeHeight="251659264" behindDoc="0" locked="0" layoutInCell="1" allowOverlap="1" wp14:anchorId="2DC712EC" wp14:editId="23B85C9E">
          <wp:simplePos x="0" y="0"/>
          <wp:positionH relativeFrom="margin">
            <wp:posOffset>-336550</wp:posOffset>
          </wp:positionH>
          <wp:positionV relativeFrom="paragraph">
            <wp:posOffset>-63500</wp:posOffset>
          </wp:positionV>
          <wp:extent cx="1533525" cy="444500"/>
          <wp:effectExtent l="0" t="0" r="0" b="0"/>
          <wp:wrapSquare wrapText="bothSides"/>
          <wp:docPr id="1315261581"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81054" name="Picture 1" descr="A blue and blac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444500"/>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b/>
        <w:bCs/>
        <w:color w:val="FF0000"/>
        <w:sz w:val="20"/>
        <w:szCs w:val="20"/>
      </w:rPr>
      <w:tab/>
      <w:t xml:space="preserve">                                                             </w:t>
    </w:r>
  </w:p>
  <w:p w14:paraId="53A8DCAC" w14:textId="77777777" w:rsidR="00823D2D" w:rsidRDefault="00823D2D">
    <w:pPr>
      <w:pStyle w:val="Header"/>
    </w:pPr>
  </w:p>
  <w:p w14:paraId="7B8DBBBD" w14:textId="77777777" w:rsidR="00823D2D" w:rsidRDefault="0082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4AC"/>
    <w:multiLevelType w:val="hybridMultilevel"/>
    <w:tmpl w:val="EB70A57A"/>
    <w:lvl w:ilvl="0" w:tplc="D8FCBD62">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A79716A"/>
    <w:multiLevelType w:val="hybridMultilevel"/>
    <w:tmpl w:val="77E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51B1F"/>
    <w:multiLevelType w:val="hybridMultilevel"/>
    <w:tmpl w:val="984E8A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7B6F50"/>
    <w:multiLevelType w:val="hybridMultilevel"/>
    <w:tmpl w:val="27F405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066A8E"/>
    <w:multiLevelType w:val="hybridMultilevel"/>
    <w:tmpl w:val="D3AA9D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94B3A8A"/>
    <w:multiLevelType w:val="hybridMultilevel"/>
    <w:tmpl w:val="F334A9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48296B"/>
    <w:multiLevelType w:val="multilevel"/>
    <w:tmpl w:val="410A8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85BDB"/>
    <w:multiLevelType w:val="hybridMultilevel"/>
    <w:tmpl w:val="72C6A9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40A0DEC"/>
    <w:multiLevelType w:val="hybridMultilevel"/>
    <w:tmpl w:val="8202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C1985"/>
    <w:multiLevelType w:val="hybridMultilevel"/>
    <w:tmpl w:val="892028C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5505979"/>
    <w:multiLevelType w:val="hybridMultilevel"/>
    <w:tmpl w:val="7E68F196"/>
    <w:lvl w:ilvl="0" w:tplc="AC886D9E">
      <w:start w:val="1"/>
      <w:numFmt w:val="decimal"/>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2A1ACA"/>
    <w:multiLevelType w:val="hybridMultilevel"/>
    <w:tmpl w:val="3F368DD4"/>
    <w:lvl w:ilvl="0" w:tplc="9530B9CA">
      <w:start w:val="1"/>
      <w:numFmt w:val="decimal"/>
      <w:pStyle w:val="ListParagraph"/>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CC15E88"/>
    <w:multiLevelType w:val="hybridMultilevel"/>
    <w:tmpl w:val="B642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018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83359">
    <w:abstractNumId w:val="4"/>
  </w:num>
  <w:num w:numId="3" w16cid:durableId="406922072">
    <w:abstractNumId w:val="10"/>
  </w:num>
  <w:num w:numId="4" w16cid:durableId="1586455684">
    <w:abstractNumId w:val="11"/>
  </w:num>
  <w:num w:numId="5" w16cid:durableId="1081371473">
    <w:abstractNumId w:val="0"/>
  </w:num>
  <w:num w:numId="6" w16cid:durableId="729352158">
    <w:abstractNumId w:val="3"/>
  </w:num>
  <w:num w:numId="7" w16cid:durableId="1854297021">
    <w:abstractNumId w:val="7"/>
  </w:num>
  <w:num w:numId="8" w16cid:durableId="15693668">
    <w:abstractNumId w:val="1"/>
  </w:num>
  <w:num w:numId="9" w16cid:durableId="947080869">
    <w:abstractNumId w:val="8"/>
  </w:num>
  <w:num w:numId="10" w16cid:durableId="658654797">
    <w:abstractNumId w:val="2"/>
  </w:num>
  <w:num w:numId="11" w16cid:durableId="1093861728">
    <w:abstractNumId w:val="12"/>
  </w:num>
  <w:num w:numId="12" w16cid:durableId="1505241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04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45214">
    <w:abstractNumId w:val="6"/>
  </w:num>
  <w:num w:numId="15" w16cid:durableId="248737867">
    <w:abstractNumId w:val="5"/>
  </w:num>
  <w:num w:numId="16" w16cid:durableId="4476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E0"/>
    <w:rsid w:val="00011E28"/>
    <w:rsid w:val="0003162C"/>
    <w:rsid w:val="00031771"/>
    <w:rsid w:val="00031EFF"/>
    <w:rsid w:val="00040541"/>
    <w:rsid w:val="00045D0C"/>
    <w:rsid w:val="000555FD"/>
    <w:rsid w:val="00062296"/>
    <w:rsid w:val="0009505B"/>
    <w:rsid w:val="000C472E"/>
    <w:rsid w:val="000E0681"/>
    <w:rsid w:val="000E62AF"/>
    <w:rsid w:val="000F776C"/>
    <w:rsid w:val="0013358E"/>
    <w:rsid w:val="001519D8"/>
    <w:rsid w:val="001631B8"/>
    <w:rsid w:val="00177B7C"/>
    <w:rsid w:val="001807B4"/>
    <w:rsid w:val="001876A2"/>
    <w:rsid w:val="0019164A"/>
    <w:rsid w:val="00193C2C"/>
    <w:rsid w:val="001C0C48"/>
    <w:rsid w:val="001D0F82"/>
    <w:rsid w:val="001E14FB"/>
    <w:rsid w:val="001F12EB"/>
    <w:rsid w:val="00212A84"/>
    <w:rsid w:val="00222D09"/>
    <w:rsid w:val="0022379B"/>
    <w:rsid w:val="0022409C"/>
    <w:rsid w:val="002278E1"/>
    <w:rsid w:val="00231392"/>
    <w:rsid w:val="00236ADC"/>
    <w:rsid w:val="002417FF"/>
    <w:rsid w:val="00241C27"/>
    <w:rsid w:val="00244654"/>
    <w:rsid w:val="00246DAE"/>
    <w:rsid w:val="00254A46"/>
    <w:rsid w:val="00270B57"/>
    <w:rsid w:val="00280E1A"/>
    <w:rsid w:val="00283F2C"/>
    <w:rsid w:val="00290C9E"/>
    <w:rsid w:val="002955FE"/>
    <w:rsid w:val="002A665C"/>
    <w:rsid w:val="002B1620"/>
    <w:rsid w:val="002C704F"/>
    <w:rsid w:val="002C74A7"/>
    <w:rsid w:val="002D3D30"/>
    <w:rsid w:val="002D4B6E"/>
    <w:rsid w:val="0036045B"/>
    <w:rsid w:val="00364584"/>
    <w:rsid w:val="00366730"/>
    <w:rsid w:val="00373F92"/>
    <w:rsid w:val="00387AA8"/>
    <w:rsid w:val="00395968"/>
    <w:rsid w:val="003B44A7"/>
    <w:rsid w:val="003C613E"/>
    <w:rsid w:val="003E69C2"/>
    <w:rsid w:val="0040710F"/>
    <w:rsid w:val="00415667"/>
    <w:rsid w:val="00420E40"/>
    <w:rsid w:val="0042305D"/>
    <w:rsid w:val="004332AD"/>
    <w:rsid w:val="00434EA8"/>
    <w:rsid w:val="00441D35"/>
    <w:rsid w:val="004519B1"/>
    <w:rsid w:val="00454C9D"/>
    <w:rsid w:val="00457E49"/>
    <w:rsid w:val="00470F49"/>
    <w:rsid w:val="004A7393"/>
    <w:rsid w:val="004B4D3D"/>
    <w:rsid w:val="004C3E66"/>
    <w:rsid w:val="004D28C4"/>
    <w:rsid w:val="004D2EB2"/>
    <w:rsid w:val="004D3F04"/>
    <w:rsid w:val="004E2DC2"/>
    <w:rsid w:val="004F64F3"/>
    <w:rsid w:val="00504CAC"/>
    <w:rsid w:val="00505EB3"/>
    <w:rsid w:val="0051361E"/>
    <w:rsid w:val="005172FF"/>
    <w:rsid w:val="0052395F"/>
    <w:rsid w:val="00541FC2"/>
    <w:rsid w:val="00553772"/>
    <w:rsid w:val="00575707"/>
    <w:rsid w:val="005776E6"/>
    <w:rsid w:val="00580BF9"/>
    <w:rsid w:val="005869DD"/>
    <w:rsid w:val="00586F2D"/>
    <w:rsid w:val="005B0D41"/>
    <w:rsid w:val="005B6485"/>
    <w:rsid w:val="005C7A65"/>
    <w:rsid w:val="005E043D"/>
    <w:rsid w:val="005E5AE2"/>
    <w:rsid w:val="00603897"/>
    <w:rsid w:val="006060D6"/>
    <w:rsid w:val="00623DD6"/>
    <w:rsid w:val="00633F8F"/>
    <w:rsid w:val="00663957"/>
    <w:rsid w:val="00674D69"/>
    <w:rsid w:val="00682A41"/>
    <w:rsid w:val="006A11BB"/>
    <w:rsid w:val="006A193E"/>
    <w:rsid w:val="006A7196"/>
    <w:rsid w:val="006B2D00"/>
    <w:rsid w:val="006B4DA9"/>
    <w:rsid w:val="006B6EC4"/>
    <w:rsid w:val="006C4D68"/>
    <w:rsid w:val="006D053B"/>
    <w:rsid w:val="006E73A2"/>
    <w:rsid w:val="0072213D"/>
    <w:rsid w:val="00724D9F"/>
    <w:rsid w:val="00733A74"/>
    <w:rsid w:val="00735817"/>
    <w:rsid w:val="00745D7A"/>
    <w:rsid w:val="00754191"/>
    <w:rsid w:val="00754BBC"/>
    <w:rsid w:val="007678E0"/>
    <w:rsid w:val="00773528"/>
    <w:rsid w:val="00797FEF"/>
    <w:rsid w:val="007C04DE"/>
    <w:rsid w:val="007C0805"/>
    <w:rsid w:val="007C40CD"/>
    <w:rsid w:val="007D5B77"/>
    <w:rsid w:val="007E1D19"/>
    <w:rsid w:val="007F516F"/>
    <w:rsid w:val="007F779B"/>
    <w:rsid w:val="00807313"/>
    <w:rsid w:val="0081340F"/>
    <w:rsid w:val="00823D2D"/>
    <w:rsid w:val="0082443E"/>
    <w:rsid w:val="008334A6"/>
    <w:rsid w:val="008508AC"/>
    <w:rsid w:val="00856825"/>
    <w:rsid w:val="00860009"/>
    <w:rsid w:val="008763DC"/>
    <w:rsid w:val="00880C08"/>
    <w:rsid w:val="008812DA"/>
    <w:rsid w:val="008819D5"/>
    <w:rsid w:val="00926302"/>
    <w:rsid w:val="009311FF"/>
    <w:rsid w:val="009407C3"/>
    <w:rsid w:val="0094184B"/>
    <w:rsid w:val="00986232"/>
    <w:rsid w:val="00997D97"/>
    <w:rsid w:val="009A65DB"/>
    <w:rsid w:val="009B3DE7"/>
    <w:rsid w:val="009D7D6E"/>
    <w:rsid w:val="009E063B"/>
    <w:rsid w:val="009F682A"/>
    <w:rsid w:val="00A2399F"/>
    <w:rsid w:val="00A46F40"/>
    <w:rsid w:val="00A470B2"/>
    <w:rsid w:val="00A50297"/>
    <w:rsid w:val="00A75B01"/>
    <w:rsid w:val="00A81E05"/>
    <w:rsid w:val="00A92B13"/>
    <w:rsid w:val="00AB29BA"/>
    <w:rsid w:val="00AB49C5"/>
    <w:rsid w:val="00AC0F36"/>
    <w:rsid w:val="00AD7C96"/>
    <w:rsid w:val="00AF6A62"/>
    <w:rsid w:val="00B000BB"/>
    <w:rsid w:val="00B00A86"/>
    <w:rsid w:val="00B17DD1"/>
    <w:rsid w:val="00B31A06"/>
    <w:rsid w:val="00B31C64"/>
    <w:rsid w:val="00B369A8"/>
    <w:rsid w:val="00B44367"/>
    <w:rsid w:val="00B628D3"/>
    <w:rsid w:val="00B74BF3"/>
    <w:rsid w:val="00B869EB"/>
    <w:rsid w:val="00BC251C"/>
    <w:rsid w:val="00BD1605"/>
    <w:rsid w:val="00BD59DF"/>
    <w:rsid w:val="00BF5DA5"/>
    <w:rsid w:val="00C238BD"/>
    <w:rsid w:val="00C33206"/>
    <w:rsid w:val="00C63026"/>
    <w:rsid w:val="00C708BA"/>
    <w:rsid w:val="00C75870"/>
    <w:rsid w:val="00CA60FA"/>
    <w:rsid w:val="00CC5D1B"/>
    <w:rsid w:val="00CD5C25"/>
    <w:rsid w:val="00CE4078"/>
    <w:rsid w:val="00D006C6"/>
    <w:rsid w:val="00D0118F"/>
    <w:rsid w:val="00D36DAD"/>
    <w:rsid w:val="00D5275F"/>
    <w:rsid w:val="00D713BD"/>
    <w:rsid w:val="00D71DE9"/>
    <w:rsid w:val="00D74077"/>
    <w:rsid w:val="00D77568"/>
    <w:rsid w:val="00D87BCF"/>
    <w:rsid w:val="00DB4138"/>
    <w:rsid w:val="00DC081C"/>
    <w:rsid w:val="00DC11FB"/>
    <w:rsid w:val="00E00B2E"/>
    <w:rsid w:val="00E17765"/>
    <w:rsid w:val="00E23214"/>
    <w:rsid w:val="00E32DF1"/>
    <w:rsid w:val="00E45233"/>
    <w:rsid w:val="00E553AD"/>
    <w:rsid w:val="00E77D8C"/>
    <w:rsid w:val="00EB7C79"/>
    <w:rsid w:val="00EC04D5"/>
    <w:rsid w:val="00EE162C"/>
    <w:rsid w:val="00EE6A91"/>
    <w:rsid w:val="00EF04E2"/>
    <w:rsid w:val="00EF2463"/>
    <w:rsid w:val="00F03ECA"/>
    <w:rsid w:val="00F1010D"/>
    <w:rsid w:val="00F254B6"/>
    <w:rsid w:val="00F40A21"/>
    <w:rsid w:val="00F42532"/>
    <w:rsid w:val="00F43850"/>
    <w:rsid w:val="00F55DF8"/>
    <w:rsid w:val="00F923DB"/>
    <w:rsid w:val="00F9247A"/>
    <w:rsid w:val="00F95B23"/>
    <w:rsid w:val="00FD3727"/>
    <w:rsid w:val="00FD6704"/>
    <w:rsid w:val="00FE00F1"/>
    <w:rsid w:val="00FE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F14F"/>
  <w15:chartTrackingRefBased/>
  <w15:docId w15:val="{AA2962E6-23A2-4994-B159-1CACF88E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754BBC"/>
    <w:pPr>
      <w:keepNext/>
      <w:keepLines/>
      <w:spacing w:before="40" w:after="0" w:line="276" w:lineRule="auto"/>
      <w:outlineLvl w:val="1"/>
    </w:pPr>
    <w:rPr>
      <w:rFonts w:ascii="Times New Roman" w:eastAsia="Times New Roman" w:hAnsi="Times New Roman" w:cs="Times New Roman"/>
      <w:b/>
      <w:bCs/>
      <w:iCs/>
      <w:color w:val="2F5496"/>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E40"/>
    <w:rPr>
      <w:color w:val="0563C1" w:themeColor="hyperlink"/>
      <w:u w:val="single"/>
    </w:rPr>
  </w:style>
  <w:style w:type="character" w:styleId="UnresolvedMention">
    <w:name w:val="Unresolved Mention"/>
    <w:basedOn w:val="DefaultParagraphFont"/>
    <w:uiPriority w:val="99"/>
    <w:semiHidden/>
    <w:unhideWhenUsed/>
    <w:rsid w:val="00420E40"/>
    <w:rPr>
      <w:color w:val="605E5C"/>
      <w:shd w:val="clear" w:color="auto" w:fill="E1DFDD"/>
    </w:rPr>
  </w:style>
  <w:style w:type="paragraph" w:styleId="ListParagraph">
    <w:name w:val="List Paragraph"/>
    <w:aliases w:val="Numbered List,Dot pt,F5 List Paragraph,List Paragraph Char Char Char,Indicator Text,Numbered Para 1,Bullet 1,Bullet Points,List Paragraph2,MAIN CONTENT,Normal numbered,List Paragraph1,Colorful List - Accent 11,Issue Action POC,3"/>
    <w:basedOn w:val="Normal"/>
    <w:link w:val="ListParagraphChar"/>
    <w:uiPriority w:val="34"/>
    <w:qFormat/>
    <w:rsid w:val="006B6EC4"/>
    <w:pPr>
      <w:numPr>
        <w:numId w:val="1"/>
      </w:numPr>
      <w:spacing w:line="252" w:lineRule="auto"/>
      <w:contextualSpacing/>
    </w:pPr>
    <w:rPr>
      <w:rFonts w:ascii="Calibri" w:hAnsi="Calibri" w:cs="Calibri"/>
      <w:kern w:val="0"/>
    </w:rPr>
  </w:style>
  <w:style w:type="paragraph" w:styleId="Revision">
    <w:name w:val="Revision"/>
    <w:hidden/>
    <w:uiPriority w:val="99"/>
    <w:semiHidden/>
    <w:rsid w:val="00A81E05"/>
    <w:pPr>
      <w:spacing w:after="0" w:line="240" w:lineRule="auto"/>
    </w:pPr>
  </w:style>
  <w:style w:type="character" w:styleId="CommentReference">
    <w:name w:val="annotation reference"/>
    <w:basedOn w:val="DefaultParagraphFont"/>
    <w:uiPriority w:val="99"/>
    <w:semiHidden/>
    <w:unhideWhenUsed/>
    <w:rsid w:val="00062296"/>
    <w:rPr>
      <w:sz w:val="16"/>
      <w:szCs w:val="16"/>
    </w:rPr>
  </w:style>
  <w:style w:type="paragraph" w:styleId="CommentText">
    <w:name w:val="annotation text"/>
    <w:basedOn w:val="Normal"/>
    <w:link w:val="CommentTextChar"/>
    <w:uiPriority w:val="99"/>
    <w:unhideWhenUsed/>
    <w:rsid w:val="00062296"/>
    <w:pPr>
      <w:spacing w:line="240" w:lineRule="auto"/>
    </w:pPr>
    <w:rPr>
      <w:sz w:val="20"/>
      <w:szCs w:val="20"/>
    </w:rPr>
  </w:style>
  <w:style w:type="character" w:customStyle="1" w:styleId="CommentTextChar">
    <w:name w:val="Comment Text Char"/>
    <w:basedOn w:val="DefaultParagraphFont"/>
    <w:link w:val="CommentText"/>
    <w:uiPriority w:val="99"/>
    <w:rsid w:val="00062296"/>
    <w:rPr>
      <w:sz w:val="20"/>
      <w:szCs w:val="20"/>
    </w:rPr>
  </w:style>
  <w:style w:type="paragraph" w:styleId="CommentSubject">
    <w:name w:val="annotation subject"/>
    <w:basedOn w:val="CommentText"/>
    <w:next w:val="CommentText"/>
    <w:link w:val="CommentSubjectChar"/>
    <w:uiPriority w:val="99"/>
    <w:semiHidden/>
    <w:unhideWhenUsed/>
    <w:rsid w:val="00062296"/>
    <w:rPr>
      <w:b/>
      <w:bCs/>
    </w:rPr>
  </w:style>
  <w:style w:type="character" w:customStyle="1" w:styleId="CommentSubjectChar">
    <w:name w:val="Comment Subject Char"/>
    <w:basedOn w:val="CommentTextChar"/>
    <w:link w:val="CommentSubject"/>
    <w:uiPriority w:val="99"/>
    <w:semiHidden/>
    <w:rsid w:val="00062296"/>
    <w:rPr>
      <w:b/>
      <w:bCs/>
      <w:sz w:val="20"/>
      <w:szCs w:val="20"/>
    </w:rPr>
  </w:style>
  <w:style w:type="paragraph" w:styleId="Header">
    <w:name w:val="header"/>
    <w:basedOn w:val="Normal"/>
    <w:link w:val="HeaderChar"/>
    <w:uiPriority w:val="99"/>
    <w:unhideWhenUsed/>
    <w:rsid w:val="00823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D2D"/>
  </w:style>
  <w:style w:type="paragraph" w:styleId="Footer">
    <w:name w:val="footer"/>
    <w:basedOn w:val="Normal"/>
    <w:link w:val="FooterChar"/>
    <w:uiPriority w:val="99"/>
    <w:unhideWhenUsed/>
    <w:rsid w:val="0082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D2D"/>
  </w:style>
  <w:style w:type="character" w:customStyle="1" w:styleId="Heading2Char">
    <w:name w:val="Heading 2 Char"/>
    <w:basedOn w:val="DefaultParagraphFont"/>
    <w:link w:val="Heading2"/>
    <w:uiPriority w:val="9"/>
    <w:rsid w:val="00754BBC"/>
    <w:rPr>
      <w:rFonts w:ascii="Times New Roman" w:eastAsia="Times New Roman" w:hAnsi="Times New Roman" w:cs="Times New Roman"/>
      <w:b/>
      <w:bCs/>
      <w:iCs/>
      <w:color w:val="2F5496"/>
      <w:kern w:val="0"/>
      <w:sz w:val="36"/>
      <w:szCs w:val="36"/>
      <w14:ligatures w14:val="none"/>
    </w:rPr>
  </w:style>
  <w:style w:type="paragraph" w:customStyle="1" w:styleId="paragraph">
    <w:name w:val="paragraph"/>
    <w:basedOn w:val="Normal"/>
    <w:rsid w:val="00434E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434EA8"/>
    <w:rPr>
      <w:rFonts w:ascii="Calibri" w:hAnsi="Calibri" w:cs="Calibri"/>
      <w:kern w:val="0"/>
    </w:rPr>
  </w:style>
  <w:style w:type="character" w:customStyle="1" w:styleId="normaltextrun">
    <w:name w:val="normaltextrun"/>
    <w:basedOn w:val="DefaultParagraphFont"/>
    <w:rsid w:val="0043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8730">
      <w:bodyDiv w:val="1"/>
      <w:marLeft w:val="0"/>
      <w:marRight w:val="0"/>
      <w:marTop w:val="0"/>
      <w:marBottom w:val="0"/>
      <w:divBdr>
        <w:top w:val="none" w:sz="0" w:space="0" w:color="auto"/>
        <w:left w:val="none" w:sz="0" w:space="0" w:color="auto"/>
        <w:bottom w:val="none" w:sz="0" w:space="0" w:color="auto"/>
        <w:right w:val="none" w:sz="0" w:space="0" w:color="auto"/>
      </w:divBdr>
    </w:div>
    <w:div w:id="944575220">
      <w:bodyDiv w:val="1"/>
      <w:marLeft w:val="0"/>
      <w:marRight w:val="0"/>
      <w:marTop w:val="0"/>
      <w:marBottom w:val="0"/>
      <w:divBdr>
        <w:top w:val="none" w:sz="0" w:space="0" w:color="auto"/>
        <w:left w:val="none" w:sz="0" w:space="0" w:color="auto"/>
        <w:bottom w:val="none" w:sz="0" w:space="0" w:color="auto"/>
        <w:right w:val="none" w:sz="0" w:space="0" w:color="auto"/>
      </w:divBdr>
    </w:div>
    <w:div w:id="1267738557">
      <w:bodyDiv w:val="1"/>
      <w:marLeft w:val="0"/>
      <w:marRight w:val="0"/>
      <w:marTop w:val="0"/>
      <w:marBottom w:val="0"/>
      <w:divBdr>
        <w:top w:val="none" w:sz="0" w:space="0" w:color="auto"/>
        <w:left w:val="none" w:sz="0" w:space="0" w:color="auto"/>
        <w:bottom w:val="none" w:sz="0" w:space="0" w:color="auto"/>
        <w:right w:val="none" w:sz="0" w:space="0" w:color="auto"/>
      </w:divBdr>
    </w:div>
    <w:div w:id="1275753124">
      <w:bodyDiv w:val="1"/>
      <w:marLeft w:val="0"/>
      <w:marRight w:val="0"/>
      <w:marTop w:val="0"/>
      <w:marBottom w:val="0"/>
      <w:divBdr>
        <w:top w:val="none" w:sz="0" w:space="0" w:color="auto"/>
        <w:left w:val="none" w:sz="0" w:space="0" w:color="auto"/>
        <w:bottom w:val="none" w:sz="0" w:space="0" w:color="auto"/>
        <w:right w:val="none" w:sz="0" w:space="0" w:color="auto"/>
      </w:divBdr>
    </w:div>
    <w:div w:id="14156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nar.realtor/the-facts/nar-settlement-faq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 A M E R I C A S ! 1 2 7 0 8 5 6 7 0 . 1 < / d o c u m e n t i d >  
     < s e n d e r i d > E P S T E J A < / s e n d e r i d >  
     < s e n d e r e m a i l > J A C L Y N . P H I L L I P S @ W H I T E C A S E . C O M < / s e n d e r e m a i l >  
     < l a s t m o d i f i e d > 2 0 2 4 - 0 5 - 2 8 T 1 2 : 4 6 : 0 0 . 0 0 0 0 0 0 0 - 0 4 : 0 0 < / l a s t m o d i f i e d >  
     < d a t a b a s e > A M E R I C A S 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29646ABAAF114AB18C13563E94CFC8" ma:contentTypeVersion="14" ma:contentTypeDescription="Create a new document." ma:contentTypeScope="" ma:versionID="c97fd3a20ad6e10b72667765deda72ce">
  <xsd:schema xmlns:xsd="http://www.w3.org/2001/XMLSchema" xmlns:xs="http://www.w3.org/2001/XMLSchema" xmlns:p="http://schemas.microsoft.com/office/2006/metadata/properties" xmlns:ns3="7841fb2b-1faa-4995-8694-42821d89283e" xmlns:ns4="cbecd235-b993-4a6f-bcd0-f22f3fbf3120" targetNamespace="http://schemas.microsoft.com/office/2006/metadata/properties" ma:root="true" ma:fieldsID="744d050e63e2cda57a5d26509715b803" ns3:_="" ns4:_="">
    <xsd:import namespace="7841fb2b-1faa-4995-8694-42821d89283e"/>
    <xsd:import namespace="cbecd235-b993-4a6f-bcd0-f22f3fbf31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fb2b-1faa-4995-8694-42821d892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cd235-b993-4a6f-bcd0-f22f3fbf31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7841fb2b-1faa-4995-8694-42821d89283e" xsi:nil="true"/>
  </documentManagement>
</p:properties>
</file>

<file path=customXml/itemProps1.xml><?xml version="1.0" encoding="utf-8"?>
<ds:datastoreItem xmlns:ds="http://schemas.openxmlformats.org/officeDocument/2006/customXml" ds:itemID="{6F6E73D9-38CA-4F97-842F-02A454B6419B}">
  <ds:schemaRefs>
    <ds:schemaRef ds:uri="http://schemas.openxmlformats.org/officeDocument/2006/bibliography"/>
  </ds:schemaRefs>
</ds:datastoreItem>
</file>

<file path=customXml/itemProps2.xml><?xml version="1.0" encoding="utf-8"?>
<ds:datastoreItem xmlns:ds="http://schemas.openxmlformats.org/officeDocument/2006/customXml" ds:itemID="{97C888D3-72AA-4955-8E21-938EFCCF9BA7}">
  <ds:schemaRefs>
    <ds:schemaRef ds:uri="http://www.imanage.com/work/xmlschema"/>
  </ds:schemaRefs>
</ds:datastoreItem>
</file>

<file path=customXml/itemProps3.xml><?xml version="1.0" encoding="utf-8"?>
<ds:datastoreItem xmlns:ds="http://schemas.openxmlformats.org/officeDocument/2006/customXml" ds:itemID="{A1091D8F-700C-4AB0-8D7E-2F3213E04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fb2b-1faa-4995-8694-42821d89283e"/>
    <ds:schemaRef ds:uri="cbecd235-b993-4a6f-bcd0-f22f3fbf3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1D7B7-5AFC-4C09-A40A-AFECE720EFDC}">
  <ds:schemaRefs>
    <ds:schemaRef ds:uri="http://schemas.microsoft.com/sharepoint/v3/contenttype/forms"/>
  </ds:schemaRefs>
</ds:datastoreItem>
</file>

<file path=customXml/itemProps5.xml><?xml version="1.0" encoding="utf-8"?>
<ds:datastoreItem xmlns:ds="http://schemas.openxmlformats.org/officeDocument/2006/customXml" ds:itemID="{D51AEA1B-1858-4C4B-98E0-967197514783}">
  <ds:schemaRefs>
    <ds:schemaRef ds:uri="http://schemas.microsoft.com/office/2006/metadata/properties"/>
    <ds:schemaRef ds:uri="http://schemas.microsoft.com/office/infopath/2007/PartnerControls"/>
    <ds:schemaRef ds:uri="7841fb2b-1faa-4995-8694-42821d8928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Troiani</dc:creator>
  <cp:keywords/>
  <dc:description/>
  <cp:lastModifiedBy>Brian Miller</cp:lastModifiedBy>
  <cp:revision>2</cp:revision>
  <cp:lastPrinted>2024-05-17T16:56:00Z</cp:lastPrinted>
  <dcterms:created xsi:type="dcterms:W3CDTF">2024-07-31T20:18:00Z</dcterms:created>
  <dcterms:modified xsi:type="dcterms:W3CDTF">2024-07-31T20:18:00Z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0x010100BE29646ABAAF114AB18C13563E94CFC8</vt:lpwstr>
  </property>
  <property fmtid="{D5CDD505-2E9C-101B-9397-08002B2CF9AE}" pid="3" name="NRT_ELITE_CLIENT">
    <vt:lpwstr>1904127</vt:lpwstr>
  </property>
  <property fmtid="{D5CDD505-2E9C-101B-9397-08002B2CF9AE}" pid="4" name="NRT_ELITE_MATTER">
    <vt:lpwstr>0002</vt:lpwstr>
  </property>
  <property fmtid="{D5CDD505-2E9C-101B-9397-08002B2CF9AE}" pid="5" name="NRT_Author">
    <vt:lpwstr>EPSTEJA</vt:lpwstr>
  </property>
  <property fmtid="{D5CDD505-2E9C-101B-9397-08002B2CF9AE}" pid="6" name="NRT_AuthorDescription">
    <vt:lpwstr>Phillips, Jaclyn</vt:lpwstr>
  </property>
  <property fmtid="{D5CDD505-2E9C-101B-9397-08002B2CF9AE}" pid="7" name="NRT_DocNumber">
    <vt:lpwstr>127085670</vt:lpwstr>
  </property>
  <property fmtid="{D5CDD505-2E9C-101B-9397-08002B2CF9AE}" pid="8" name="NRT_DocVersion">
    <vt:lpwstr>1</vt:lpwstr>
  </property>
  <property fmtid="{D5CDD505-2E9C-101B-9397-08002B2CF9AE}" pid="9" name="NRT_DocName">
    <vt:lpwstr>W&amp;C - Buyer Agreement Resource 5.20 MT Comments</vt:lpwstr>
  </property>
  <property fmtid="{D5CDD505-2E9C-101B-9397-08002B2CF9AE}" pid="10" name="NRT_Database">
    <vt:lpwstr>AMERICAS</vt:lpwstr>
  </property>
  <property fmtid="{D5CDD505-2E9C-101B-9397-08002B2CF9AE}" pid="11" name="NRT_Operator">
    <vt:lpwstr>EPSTEJA</vt:lpwstr>
  </property>
  <property fmtid="{D5CDD505-2E9C-101B-9397-08002B2CF9AE}" pid="12" name="pDocRef">
    <vt:lpwstr>1904127-0002.EPSTEJA</vt:lpwstr>
  </property>
  <property fmtid="{D5CDD505-2E9C-101B-9397-08002B2CF9AE}" pid="13" name="pDocNumber">
    <vt:lpwstr>127085670_1 [AMERICAS]</vt:lpwstr>
  </property>
  <property fmtid="{D5CDD505-2E9C-101B-9397-08002B2CF9AE}" pid="14" name="WC_LAST_MODIFIED">
    <vt:lpwstr>5/28/2024 12:46:39 PM</vt:lpwstr>
  </property>
</Properties>
</file>