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B3EB6" w14:textId="2C9D11CF" w:rsidR="0056040D" w:rsidRPr="00D349E0" w:rsidRDefault="0056040D" w:rsidP="00757207">
      <w:pPr>
        <w:pStyle w:val="Title"/>
        <w:rPr>
          <w:rFonts w:ascii="Arial" w:hAnsi="Arial" w:cs="Arial"/>
          <w:sz w:val="22"/>
          <w:szCs w:val="22"/>
        </w:rPr>
      </w:pPr>
      <w:r w:rsidRPr="00D349E0">
        <w:rPr>
          <w:rFonts w:ascii="Arial" w:hAnsi="Arial" w:cs="Arial"/>
          <w:sz w:val="22"/>
          <w:szCs w:val="22"/>
        </w:rPr>
        <w:t xml:space="preserve">Summary of </w:t>
      </w:r>
      <w:r w:rsidR="00DE6678">
        <w:rPr>
          <w:rFonts w:ascii="Arial" w:hAnsi="Arial" w:cs="Arial"/>
          <w:sz w:val="22"/>
          <w:szCs w:val="22"/>
        </w:rPr>
        <w:t xml:space="preserve">2022 </w:t>
      </w:r>
      <w:r w:rsidR="00220081" w:rsidRPr="00D349E0">
        <w:rPr>
          <w:rFonts w:ascii="Arial" w:hAnsi="Arial" w:cs="Arial"/>
          <w:sz w:val="22"/>
          <w:szCs w:val="22"/>
        </w:rPr>
        <w:t xml:space="preserve">MLS </w:t>
      </w:r>
      <w:r w:rsidR="00DE6678">
        <w:rPr>
          <w:rFonts w:ascii="Arial" w:hAnsi="Arial" w:cs="Arial"/>
          <w:sz w:val="22"/>
          <w:szCs w:val="22"/>
        </w:rPr>
        <w:t xml:space="preserve">Policy </w:t>
      </w:r>
      <w:r w:rsidR="00220081" w:rsidRPr="00D349E0">
        <w:rPr>
          <w:rFonts w:ascii="Arial" w:hAnsi="Arial" w:cs="Arial"/>
          <w:sz w:val="22"/>
          <w:szCs w:val="22"/>
        </w:rPr>
        <w:t>Changes</w:t>
      </w:r>
    </w:p>
    <w:p w14:paraId="7321AA00" w14:textId="77777777" w:rsidR="0056040D" w:rsidRPr="00D349E0" w:rsidRDefault="0056040D" w:rsidP="00837200">
      <w:pPr>
        <w:rPr>
          <w:rFonts w:ascii="Arial" w:hAnsi="Arial" w:cs="Arial"/>
          <w:sz w:val="22"/>
          <w:szCs w:val="22"/>
        </w:rPr>
      </w:pPr>
    </w:p>
    <w:p w14:paraId="6D83B2B1" w14:textId="77777777" w:rsidR="005E2A4E" w:rsidRPr="00D349E0" w:rsidRDefault="005E2A4E" w:rsidP="00837200">
      <w:pPr>
        <w:rPr>
          <w:rFonts w:ascii="Arial" w:hAnsi="Arial" w:cs="Arial"/>
          <w:sz w:val="22"/>
          <w:szCs w:val="22"/>
        </w:rPr>
      </w:pPr>
    </w:p>
    <w:p w14:paraId="706B1155" w14:textId="42A20492" w:rsidR="00D12F41" w:rsidRPr="00D349E0" w:rsidRDefault="0056040D" w:rsidP="00837200">
      <w:pPr>
        <w:rPr>
          <w:rFonts w:ascii="Arial" w:hAnsi="Arial" w:cs="Arial"/>
          <w:sz w:val="22"/>
          <w:szCs w:val="22"/>
        </w:rPr>
      </w:pPr>
      <w:r w:rsidRPr="00D349E0">
        <w:rPr>
          <w:rFonts w:ascii="Arial" w:hAnsi="Arial" w:cs="Arial"/>
          <w:sz w:val="22"/>
          <w:szCs w:val="22"/>
        </w:rPr>
        <w:t xml:space="preserve">This </w:t>
      </w:r>
      <w:r w:rsidR="00215F2A" w:rsidRPr="00D349E0">
        <w:rPr>
          <w:rFonts w:ascii="Arial" w:hAnsi="Arial" w:cs="Arial"/>
          <w:sz w:val="22"/>
          <w:szCs w:val="22"/>
        </w:rPr>
        <w:t>S</w:t>
      </w:r>
      <w:r w:rsidRPr="00D349E0">
        <w:rPr>
          <w:rFonts w:ascii="Arial" w:hAnsi="Arial" w:cs="Arial"/>
          <w:sz w:val="22"/>
          <w:szCs w:val="22"/>
        </w:rPr>
        <w:t>ummary highlights</w:t>
      </w:r>
      <w:r w:rsidR="00955D14" w:rsidRPr="00D349E0">
        <w:rPr>
          <w:rFonts w:ascii="Arial" w:hAnsi="Arial" w:cs="Arial"/>
          <w:sz w:val="22"/>
          <w:szCs w:val="22"/>
        </w:rPr>
        <w:t xml:space="preserve"> changes in</w:t>
      </w:r>
      <w:r w:rsidRPr="00D349E0">
        <w:rPr>
          <w:rFonts w:ascii="Arial" w:hAnsi="Arial" w:cs="Arial"/>
          <w:sz w:val="22"/>
          <w:szCs w:val="22"/>
        </w:rPr>
        <w:t xml:space="preserve"> </w:t>
      </w:r>
      <w:r w:rsidR="00FA7626" w:rsidRPr="00D349E0">
        <w:rPr>
          <w:rFonts w:ascii="Arial" w:hAnsi="Arial" w:cs="Arial"/>
          <w:sz w:val="22"/>
          <w:szCs w:val="22"/>
        </w:rPr>
        <w:t xml:space="preserve">NAR </w:t>
      </w:r>
      <w:r w:rsidR="00AD4FBF" w:rsidRPr="00D349E0">
        <w:rPr>
          <w:rFonts w:ascii="Arial" w:hAnsi="Arial" w:cs="Arial"/>
          <w:sz w:val="22"/>
          <w:szCs w:val="22"/>
        </w:rPr>
        <w:t xml:space="preserve">MLS </w:t>
      </w:r>
      <w:r w:rsidR="00FA7626" w:rsidRPr="00D349E0">
        <w:rPr>
          <w:rFonts w:ascii="Arial" w:hAnsi="Arial" w:cs="Arial"/>
          <w:sz w:val="22"/>
          <w:szCs w:val="22"/>
        </w:rPr>
        <w:t xml:space="preserve">policy </w:t>
      </w:r>
      <w:r w:rsidR="00AD4FBF" w:rsidRPr="00D349E0">
        <w:rPr>
          <w:rFonts w:ascii="Arial" w:hAnsi="Arial" w:cs="Arial"/>
          <w:sz w:val="22"/>
          <w:szCs w:val="22"/>
        </w:rPr>
        <w:t>adopted in 20</w:t>
      </w:r>
      <w:r w:rsidR="00F74CFB" w:rsidRPr="00D349E0">
        <w:rPr>
          <w:rFonts w:ascii="Arial" w:hAnsi="Arial" w:cs="Arial"/>
          <w:sz w:val="22"/>
          <w:szCs w:val="22"/>
        </w:rPr>
        <w:t>2</w:t>
      </w:r>
      <w:r w:rsidR="0046227D" w:rsidRPr="00D349E0">
        <w:rPr>
          <w:rFonts w:ascii="Arial" w:hAnsi="Arial" w:cs="Arial"/>
          <w:sz w:val="22"/>
          <w:szCs w:val="22"/>
        </w:rPr>
        <w:t>1</w:t>
      </w:r>
      <w:r w:rsidR="00FA7626" w:rsidRPr="00D349E0">
        <w:rPr>
          <w:rFonts w:ascii="Arial" w:hAnsi="Arial" w:cs="Arial"/>
          <w:sz w:val="22"/>
          <w:szCs w:val="22"/>
        </w:rPr>
        <w:t xml:space="preserve">, including changes to </w:t>
      </w:r>
      <w:r w:rsidR="00215F2A" w:rsidRPr="00D349E0">
        <w:rPr>
          <w:rFonts w:ascii="Arial" w:hAnsi="Arial" w:cs="Arial"/>
          <w:sz w:val="22"/>
          <w:szCs w:val="22"/>
        </w:rPr>
        <w:t xml:space="preserve">the </w:t>
      </w:r>
      <w:r w:rsidR="00FA7626" w:rsidRPr="00D349E0">
        <w:rPr>
          <w:rFonts w:ascii="Arial" w:hAnsi="Arial" w:cs="Arial"/>
          <w:sz w:val="22"/>
          <w:szCs w:val="22"/>
        </w:rPr>
        <w:t>Model MLS Rules and Regulations, and changes to the MLS Policy Statements, both found in the 202</w:t>
      </w:r>
      <w:r w:rsidR="0046227D" w:rsidRPr="00D349E0">
        <w:rPr>
          <w:rFonts w:ascii="Arial" w:hAnsi="Arial" w:cs="Arial"/>
          <w:sz w:val="22"/>
          <w:szCs w:val="22"/>
        </w:rPr>
        <w:t>2</w:t>
      </w:r>
      <w:r w:rsidR="00FA7626" w:rsidRPr="00D349E0">
        <w:rPr>
          <w:rFonts w:ascii="Arial" w:hAnsi="Arial" w:cs="Arial"/>
          <w:sz w:val="22"/>
          <w:szCs w:val="22"/>
        </w:rPr>
        <w:t xml:space="preserve"> </w:t>
      </w:r>
      <w:r w:rsidR="00FA7626" w:rsidRPr="00D349E0">
        <w:rPr>
          <w:rFonts w:ascii="Arial" w:hAnsi="Arial" w:cs="Arial"/>
          <w:i/>
          <w:sz w:val="22"/>
          <w:szCs w:val="22"/>
        </w:rPr>
        <w:t>Handbook on Multiple Listing Policy</w:t>
      </w:r>
      <w:r w:rsidR="00D12F41" w:rsidRPr="00D349E0">
        <w:rPr>
          <w:rFonts w:ascii="Arial" w:hAnsi="Arial" w:cs="Arial"/>
          <w:sz w:val="22"/>
          <w:szCs w:val="22"/>
        </w:rPr>
        <w:t>.</w:t>
      </w:r>
      <w:r w:rsidR="00FA7626" w:rsidRPr="00D349E0">
        <w:rPr>
          <w:rFonts w:ascii="Arial" w:hAnsi="Arial" w:cs="Arial"/>
          <w:sz w:val="22"/>
          <w:szCs w:val="22"/>
        </w:rPr>
        <w:t xml:space="preserve"> </w:t>
      </w:r>
      <w:r w:rsidR="00D12F41" w:rsidRPr="00D349E0">
        <w:rPr>
          <w:rFonts w:ascii="Arial" w:hAnsi="Arial" w:cs="Arial"/>
          <w:sz w:val="22"/>
          <w:szCs w:val="22"/>
        </w:rPr>
        <w:t xml:space="preserve"> </w:t>
      </w:r>
      <w:r w:rsidR="00215F2A" w:rsidRPr="00D349E0">
        <w:rPr>
          <w:rFonts w:ascii="Arial" w:hAnsi="Arial" w:cs="Arial"/>
          <w:sz w:val="22"/>
          <w:szCs w:val="22"/>
        </w:rPr>
        <w:t xml:space="preserve">Shaded portions </w:t>
      </w:r>
      <w:r w:rsidR="00DE6678">
        <w:rPr>
          <w:rFonts w:ascii="Arial" w:hAnsi="Arial" w:cs="Arial"/>
          <w:sz w:val="22"/>
          <w:szCs w:val="22"/>
        </w:rPr>
        <w:t xml:space="preserve">in the </w:t>
      </w:r>
      <w:r w:rsidR="00215F2A" w:rsidRPr="00D349E0">
        <w:rPr>
          <w:rFonts w:ascii="Arial" w:hAnsi="Arial" w:cs="Arial"/>
          <w:sz w:val="22"/>
          <w:szCs w:val="22"/>
        </w:rPr>
        <w:t xml:space="preserve">Handbook highlight all areas that have changed.  </w:t>
      </w:r>
      <w:r w:rsidR="00D12F41" w:rsidRPr="00D349E0">
        <w:rPr>
          <w:rFonts w:ascii="Arial" w:hAnsi="Arial" w:cs="Arial"/>
          <w:sz w:val="22"/>
          <w:szCs w:val="22"/>
        </w:rPr>
        <w:t xml:space="preserve">All changes </w:t>
      </w:r>
      <w:r w:rsidR="0021679A" w:rsidRPr="00D349E0">
        <w:rPr>
          <w:rFonts w:ascii="Arial" w:hAnsi="Arial" w:cs="Arial"/>
          <w:sz w:val="22"/>
          <w:szCs w:val="22"/>
        </w:rPr>
        <w:t>bec</w:t>
      </w:r>
      <w:r w:rsidR="00D12F41" w:rsidRPr="00D349E0">
        <w:rPr>
          <w:rFonts w:ascii="Arial" w:hAnsi="Arial" w:cs="Arial"/>
          <w:sz w:val="22"/>
          <w:szCs w:val="22"/>
        </w:rPr>
        <w:t>o</w:t>
      </w:r>
      <w:r w:rsidR="0021679A" w:rsidRPr="00D349E0">
        <w:rPr>
          <w:rFonts w:ascii="Arial" w:hAnsi="Arial" w:cs="Arial"/>
          <w:sz w:val="22"/>
          <w:szCs w:val="22"/>
        </w:rPr>
        <w:t xml:space="preserve">me effective January </w:t>
      </w:r>
      <w:r w:rsidR="00D12F41" w:rsidRPr="00D349E0">
        <w:rPr>
          <w:rFonts w:ascii="Arial" w:hAnsi="Arial" w:cs="Arial"/>
          <w:sz w:val="22"/>
          <w:szCs w:val="22"/>
        </w:rPr>
        <w:t xml:space="preserve">1, </w:t>
      </w:r>
      <w:r w:rsidR="0021679A" w:rsidRPr="00D349E0">
        <w:rPr>
          <w:rFonts w:ascii="Arial" w:hAnsi="Arial" w:cs="Arial"/>
          <w:sz w:val="22"/>
          <w:szCs w:val="22"/>
        </w:rPr>
        <w:t>20</w:t>
      </w:r>
      <w:r w:rsidR="006D1A8A" w:rsidRPr="00D349E0">
        <w:rPr>
          <w:rFonts w:ascii="Arial" w:hAnsi="Arial" w:cs="Arial"/>
          <w:sz w:val="22"/>
          <w:szCs w:val="22"/>
        </w:rPr>
        <w:t>2</w:t>
      </w:r>
      <w:r w:rsidR="0046227D" w:rsidRPr="00D349E0">
        <w:rPr>
          <w:rFonts w:ascii="Arial" w:hAnsi="Arial" w:cs="Arial"/>
          <w:sz w:val="22"/>
          <w:szCs w:val="22"/>
        </w:rPr>
        <w:t>2</w:t>
      </w:r>
      <w:r w:rsidR="00FF55FA" w:rsidRPr="00D349E0">
        <w:rPr>
          <w:rFonts w:ascii="Arial" w:hAnsi="Arial" w:cs="Arial"/>
          <w:sz w:val="22"/>
          <w:szCs w:val="22"/>
        </w:rPr>
        <w:t>,</w:t>
      </w:r>
      <w:r w:rsidR="007822F5" w:rsidRPr="00D349E0">
        <w:rPr>
          <w:rFonts w:ascii="Arial" w:hAnsi="Arial" w:cs="Arial"/>
          <w:sz w:val="22"/>
          <w:szCs w:val="22"/>
        </w:rPr>
        <w:t xml:space="preserve"> unless indicated otherwise</w:t>
      </w:r>
      <w:r w:rsidR="008921C1" w:rsidRPr="00D349E0">
        <w:rPr>
          <w:rFonts w:ascii="Arial" w:hAnsi="Arial" w:cs="Arial"/>
          <w:sz w:val="22"/>
          <w:szCs w:val="22"/>
        </w:rPr>
        <w:t>.</w:t>
      </w:r>
      <w:r w:rsidRPr="00D349E0">
        <w:rPr>
          <w:rFonts w:ascii="Arial" w:hAnsi="Arial" w:cs="Arial"/>
          <w:sz w:val="22"/>
          <w:szCs w:val="22"/>
        </w:rPr>
        <w:t xml:space="preserve">  </w:t>
      </w:r>
    </w:p>
    <w:p w14:paraId="5684CC69" w14:textId="77777777" w:rsidR="00D12F41" w:rsidRPr="00D349E0" w:rsidRDefault="00D12F41" w:rsidP="00837200">
      <w:pPr>
        <w:rPr>
          <w:rFonts w:ascii="Arial" w:hAnsi="Arial" w:cs="Arial"/>
          <w:sz w:val="22"/>
          <w:szCs w:val="22"/>
        </w:rPr>
      </w:pPr>
    </w:p>
    <w:p w14:paraId="3FA2AC97" w14:textId="77777777" w:rsidR="00D12F41" w:rsidRPr="00D349E0" w:rsidRDefault="0056040D" w:rsidP="00837200">
      <w:pPr>
        <w:rPr>
          <w:rFonts w:ascii="Arial" w:hAnsi="Arial" w:cs="Arial"/>
          <w:sz w:val="22"/>
          <w:szCs w:val="22"/>
        </w:rPr>
      </w:pPr>
      <w:r w:rsidRPr="00D349E0">
        <w:rPr>
          <w:rFonts w:ascii="Arial" w:hAnsi="Arial" w:cs="Arial"/>
          <w:sz w:val="22"/>
          <w:szCs w:val="22"/>
        </w:rPr>
        <w:t xml:space="preserve">For comprehensive </w:t>
      </w:r>
      <w:r w:rsidR="00D12F41" w:rsidRPr="00D349E0">
        <w:rPr>
          <w:rFonts w:ascii="Arial" w:hAnsi="Arial" w:cs="Arial"/>
          <w:sz w:val="22"/>
          <w:szCs w:val="22"/>
        </w:rPr>
        <w:t>background information and additional detail, the Mul</w:t>
      </w:r>
      <w:r w:rsidRPr="00D349E0">
        <w:rPr>
          <w:rFonts w:ascii="Arial" w:hAnsi="Arial" w:cs="Arial"/>
          <w:sz w:val="22"/>
          <w:szCs w:val="22"/>
        </w:rPr>
        <w:t xml:space="preserve">tiple Listing Issues and Policy Committee </w:t>
      </w:r>
      <w:r w:rsidR="00E83517" w:rsidRPr="00D349E0">
        <w:rPr>
          <w:rFonts w:ascii="Arial" w:hAnsi="Arial" w:cs="Arial"/>
          <w:sz w:val="22"/>
          <w:szCs w:val="22"/>
        </w:rPr>
        <w:t xml:space="preserve">agenda and minutes </w:t>
      </w:r>
      <w:r w:rsidR="00215F2A" w:rsidRPr="00D349E0">
        <w:rPr>
          <w:rFonts w:ascii="Arial" w:hAnsi="Arial" w:cs="Arial"/>
          <w:sz w:val="22"/>
          <w:szCs w:val="22"/>
        </w:rPr>
        <w:t xml:space="preserve">can be found at </w:t>
      </w:r>
      <w:hyperlink r:id="rId11" w:history="1">
        <w:r w:rsidR="00FA7626" w:rsidRPr="00D349E0">
          <w:rPr>
            <w:rStyle w:val="Hyperlink"/>
            <w:rFonts w:ascii="Arial" w:hAnsi="Arial" w:cs="Arial"/>
            <w:sz w:val="22"/>
            <w:szCs w:val="22"/>
          </w:rPr>
          <w:t>http://nar.realtor/natmeet.nsf</w:t>
        </w:r>
      </w:hyperlink>
      <w:r w:rsidR="008D5DAA" w:rsidRPr="00D349E0">
        <w:rPr>
          <w:rFonts w:ascii="Arial" w:hAnsi="Arial" w:cs="Arial"/>
          <w:sz w:val="22"/>
          <w:szCs w:val="22"/>
        </w:rPr>
        <w:t>.</w:t>
      </w:r>
      <w:r w:rsidR="00C7602F" w:rsidRPr="00D349E0">
        <w:rPr>
          <w:rFonts w:ascii="Arial" w:hAnsi="Arial" w:cs="Arial"/>
          <w:sz w:val="22"/>
          <w:szCs w:val="22"/>
        </w:rPr>
        <w:t xml:space="preserve">  </w:t>
      </w:r>
      <w:r w:rsidR="00D12F41" w:rsidRPr="00D349E0">
        <w:rPr>
          <w:rFonts w:ascii="Arial" w:hAnsi="Arial" w:cs="Arial"/>
          <w:sz w:val="22"/>
          <w:szCs w:val="22"/>
        </w:rPr>
        <w:t xml:space="preserve">   </w:t>
      </w:r>
    </w:p>
    <w:p w14:paraId="5EC3EB87" w14:textId="77777777" w:rsidR="00D12F41" w:rsidRPr="00D349E0" w:rsidRDefault="00D12F41" w:rsidP="00837200">
      <w:pPr>
        <w:rPr>
          <w:rFonts w:ascii="Arial" w:hAnsi="Arial" w:cs="Arial"/>
          <w:sz w:val="22"/>
          <w:szCs w:val="22"/>
        </w:rPr>
      </w:pPr>
    </w:p>
    <w:p w14:paraId="1D2F8F9C" w14:textId="77777777" w:rsidR="00460BFE" w:rsidRPr="00D349E0" w:rsidRDefault="00D12F41" w:rsidP="00837200">
      <w:pPr>
        <w:rPr>
          <w:rFonts w:ascii="Arial" w:hAnsi="Arial" w:cs="Arial"/>
          <w:sz w:val="22"/>
          <w:szCs w:val="22"/>
        </w:rPr>
      </w:pPr>
      <w:r w:rsidRPr="00D349E0">
        <w:rPr>
          <w:rFonts w:ascii="Arial" w:hAnsi="Arial" w:cs="Arial"/>
          <w:sz w:val="22"/>
          <w:szCs w:val="22"/>
        </w:rPr>
        <w:t xml:space="preserve">Throughout the </w:t>
      </w:r>
      <w:r w:rsidR="00215F2A" w:rsidRPr="00D349E0">
        <w:rPr>
          <w:rFonts w:ascii="Arial" w:hAnsi="Arial" w:cs="Arial"/>
          <w:sz w:val="22"/>
          <w:szCs w:val="22"/>
        </w:rPr>
        <w:t>S</w:t>
      </w:r>
      <w:r w:rsidRPr="00D349E0">
        <w:rPr>
          <w:rFonts w:ascii="Arial" w:hAnsi="Arial" w:cs="Arial"/>
          <w:sz w:val="22"/>
          <w:szCs w:val="22"/>
        </w:rPr>
        <w:t>ummary, u</w:t>
      </w:r>
      <w:r w:rsidR="00460BFE" w:rsidRPr="00D349E0">
        <w:rPr>
          <w:rFonts w:ascii="Arial" w:hAnsi="Arial" w:cs="Arial"/>
          <w:sz w:val="22"/>
          <w:szCs w:val="22"/>
        </w:rPr>
        <w:t>nderscoring indicates additions and strikeouts indicate</w:t>
      </w:r>
      <w:r w:rsidRPr="00D349E0">
        <w:rPr>
          <w:rFonts w:ascii="Arial" w:hAnsi="Arial" w:cs="Arial"/>
          <w:sz w:val="22"/>
          <w:szCs w:val="22"/>
        </w:rPr>
        <w:t>s</w:t>
      </w:r>
      <w:r w:rsidR="00460BFE" w:rsidRPr="00D349E0">
        <w:rPr>
          <w:rFonts w:ascii="Arial" w:hAnsi="Arial" w:cs="Arial"/>
          <w:sz w:val="22"/>
          <w:szCs w:val="22"/>
        </w:rPr>
        <w:t xml:space="preserve"> deletions</w:t>
      </w:r>
      <w:r w:rsidRPr="00D349E0">
        <w:rPr>
          <w:rFonts w:ascii="Arial" w:hAnsi="Arial" w:cs="Arial"/>
          <w:sz w:val="22"/>
          <w:szCs w:val="22"/>
        </w:rPr>
        <w:t>.</w:t>
      </w:r>
      <w:r w:rsidR="00460BFE" w:rsidRPr="00D349E0">
        <w:rPr>
          <w:rFonts w:ascii="Arial" w:hAnsi="Arial" w:cs="Arial"/>
          <w:sz w:val="22"/>
          <w:szCs w:val="22"/>
        </w:rPr>
        <w:t xml:space="preserve">  At the end of each policy change</w:t>
      </w:r>
      <w:r w:rsidR="00CA078C" w:rsidRPr="00D349E0">
        <w:rPr>
          <w:rFonts w:ascii="Arial" w:hAnsi="Arial" w:cs="Arial"/>
          <w:sz w:val="22"/>
          <w:szCs w:val="22"/>
        </w:rPr>
        <w:t>,</w:t>
      </w:r>
      <w:r w:rsidR="00460BFE" w:rsidRPr="00D349E0">
        <w:rPr>
          <w:rFonts w:ascii="Arial" w:hAnsi="Arial" w:cs="Arial"/>
          <w:sz w:val="22"/>
          <w:szCs w:val="22"/>
        </w:rPr>
        <w:t xml:space="preserve"> the compliance classification category is noted by the letters:  </w:t>
      </w:r>
    </w:p>
    <w:p w14:paraId="44A506EC" w14:textId="3689B577" w:rsidR="00C97AAB" w:rsidRPr="00D349E0" w:rsidRDefault="00EC0608" w:rsidP="00EC0608">
      <w:pPr>
        <w:tabs>
          <w:tab w:val="left" w:pos="3930"/>
        </w:tabs>
        <w:rPr>
          <w:rFonts w:ascii="Arial" w:hAnsi="Arial" w:cs="Arial"/>
          <w:sz w:val="22"/>
          <w:szCs w:val="22"/>
        </w:rPr>
      </w:pPr>
      <w:r>
        <w:rPr>
          <w:rFonts w:ascii="Arial" w:hAnsi="Arial" w:cs="Arial"/>
          <w:sz w:val="22"/>
          <w:szCs w:val="22"/>
        </w:rPr>
        <w:tab/>
      </w:r>
    </w:p>
    <w:p w14:paraId="0A076EDE" w14:textId="77777777" w:rsidR="00460BFE" w:rsidRPr="00D349E0" w:rsidRDefault="00460BFE" w:rsidP="00837200">
      <w:pPr>
        <w:rPr>
          <w:rFonts w:ascii="Arial" w:hAnsi="Arial" w:cs="Arial"/>
          <w:sz w:val="22"/>
          <w:szCs w:val="22"/>
        </w:rPr>
      </w:pPr>
      <w:r w:rsidRPr="00D349E0">
        <w:rPr>
          <w:rFonts w:ascii="Arial" w:hAnsi="Arial" w:cs="Arial"/>
          <w:b/>
          <w:color w:val="C00000"/>
          <w:sz w:val="22"/>
          <w:szCs w:val="22"/>
        </w:rPr>
        <w:t>M</w:t>
      </w:r>
      <w:r w:rsidRPr="00D349E0">
        <w:rPr>
          <w:rFonts w:ascii="Arial" w:hAnsi="Arial" w:cs="Arial"/>
          <w:b/>
          <w:sz w:val="22"/>
          <w:szCs w:val="22"/>
        </w:rPr>
        <w:tab/>
      </w:r>
      <w:r w:rsidRPr="00D349E0">
        <w:rPr>
          <w:rFonts w:ascii="Arial" w:hAnsi="Arial" w:cs="Arial"/>
          <w:sz w:val="22"/>
          <w:szCs w:val="22"/>
        </w:rPr>
        <w:t>Mandatory</w:t>
      </w:r>
      <w:r w:rsidR="00151418" w:rsidRPr="00D349E0">
        <w:rPr>
          <w:rFonts w:ascii="Arial" w:hAnsi="Arial" w:cs="Arial"/>
          <w:sz w:val="22"/>
          <w:szCs w:val="22"/>
        </w:rPr>
        <w:t>*</w:t>
      </w:r>
    </w:p>
    <w:p w14:paraId="5A34FA09" w14:textId="56E85D36" w:rsidR="00460BFE" w:rsidRPr="00D349E0" w:rsidRDefault="00460BFE" w:rsidP="00837200">
      <w:pPr>
        <w:rPr>
          <w:rFonts w:ascii="Arial" w:hAnsi="Arial" w:cs="Arial"/>
          <w:sz w:val="22"/>
          <w:szCs w:val="22"/>
        </w:rPr>
      </w:pPr>
      <w:r w:rsidRPr="00D349E0">
        <w:rPr>
          <w:rFonts w:ascii="Arial" w:hAnsi="Arial" w:cs="Arial"/>
          <w:b/>
          <w:color w:val="C00000"/>
          <w:sz w:val="22"/>
          <w:szCs w:val="22"/>
        </w:rPr>
        <w:t>R</w:t>
      </w:r>
      <w:r w:rsidRPr="00D349E0">
        <w:rPr>
          <w:rFonts w:ascii="Arial" w:hAnsi="Arial" w:cs="Arial"/>
          <w:b/>
          <w:sz w:val="22"/>
          <w:szCs w:val="22"/>
        </w:rPr>
        <w:tab/>
      </w:r>
      <w:r w:rsidRPr="00D349E0">
        <w:rPr>
          <w:rFonts w:ascii="Arial" w:hAnsi="Arial" w:cs="Arial"/>
          <w:sz w:val="22"/>
          <w:szCs w:val="22"/>
        </w:rPr>
        <w:t>Recommended</w:t>
      </w:r>
    </w:p>
    <w:p w14:paraId="3D691EBC" w14:textId="77777777" w:rsidR="00460BFE" w:rsidRPr="00D349E0" w:rsidRDefault="00460BFE" w:rsidP="00837200">
      <w:pPr>
        <w:rPr>
          <w:rFonts w:ascii="Arial" w:hAnsi="Arial" w:cs="Arial"/>
          <w:sz w:val="22"/>
          <w:szCs w:val="22"/>
        </w:rPr>
      </w:pPr>
      <w:r w:rsidRPr="00D349E0">
        <w:rPr>
          <w:rFonts w:ascii="Arial" w:hAnsi="Arial" w:cs="Arial"/>
          <w:b/>
          <w:color w:val="C00000"/>
          <w:sz w:val="22"/>
          <w:szCs w:val="22"/>
        </w:rPr>
        <w:t>O</w:t>
      </w:r>
      <w:r w:rsidRPr="00D349E0">
        <w:rPr>
          <w:rFonts w:ascii="Arial" w:hAnsi="Arial" w:cs="Arial"/>
          <w:b/>
          <w:sz w:val="22"/>
          <w:szCs w:val="22"/>
        </w:rPr>
        <w:tab/>
      </w:r>
      <w:r w:rsidRPr="00D349E0">
        <w:rPr>
          <w:rFonts w:ascii="Arial" w:hAnsi="Arial" w:cs="Arial"/>
          <w:sz w:val="22"/>
          <w:szCs w:val="22"/>
        </w:rPr>
        <w:t>Optional</w:t>
      </w:r>
    </w:p>
    <w:p w14:paraId="04CCE89E" w14:textId="77777777" w:rsidR="00460BFE" w:rsidRPr="00D349E0" w:rsidRDefault="00460BFE" w:rsidP="00837200">
      <w:pPr>
        <w:rPr>
          <w:rFonts w:ascii="Arial" w:hAnsi="Arial" w:cs="Arial"/>
          <w:sz w:val="22"/>
          <w:szCs w:val="22"/>
        </w:rPr>
      </w:pPr>
      <w:r w:rsidRPr="00D349E0">
        <w:rPr>
          <w:rFonts w:ascii="Arial" w:hAnsi="Arial" w:cs="Arial"/>
          <w:b/>
          <w:color w:val="C00000"/>
          <w:sz w:val="22"/>
          <w:szCs w:val="22"/>
        </w:rPr>
        <w:t>I</w:t>
      </w:r>
      <w:r w:rsidRPr="00D349E0">
        <w:rPr>
          <w:rFonts w:ascii="Arial" w:hAnsi="Arial" w:cs="Arial"/>
          <w:sz w:val="22"/>
          <w:szCs w:val="22"/>
        </w:rPr>
        <w:tab/>
        <w:t>Informational</w:t>
      </w:r>
    </w:p>
    <w:p w14:paraId="4404B277" w14:textId="77777777" w:rsidR="00460BFE" w:rsidRPr="00D349E0" w:rsidRDefault="00460BFE" w:rsidP="00837200">
      <w:pPr>
        <w:rPr>
          <w:rFonts w:ascii="Arial" w:hAnsi="Arial" w:cs="Arial"/>
          <w:sz w:val="22"/>
          <w:szCs w:val="22"/>
        </w:rPr>
      </w:pPr>
    </w:p>
    <w:p w14:paraId="24FBA1EF" w14:textId="2E6D8BBA" w:rsidR="00FA7626" w:rsidRDefault="00151418" w:rsidP="00837200">
      <w:pPr>
        <w:rPr>
          <w:rFonts w:ascii="Arial" w:hAnsi="Arial" w:cs="Arial"/>
          <w:i/>
          <w:sz w:val="22"/>
          <w:szCs w:val="22"/>
        </w:rPr>
      </w:pPr>
      <w:r w:rsidRPr="00D349E0">
        <w:rPr>
          <w:rFonts w:ascii="Arial" w:hAnsi="Arial" w:cs="Arial"/>
          <w:i/>
          <w:sz w:val="22"/>
          <w:szCs w:val="22"/>
        </w:rPr>
        <w:t>*</w:t>
      </w:r>
      <w:r w:rsidR="00460BFE" w:rsidRPr="00D349E0">
        <w:rPr>
          <w:rFonts w:ascii="Arial" w:hAnsi="Arial" w:cs="Arial"/>
          <w:i/>
          <w:sz w:val="22"/>
          <w:szCs w:val="22"/>
        </w:rPr>
        <w:t xml:space="preserve">Adoption is necessary to ensure compliance with mandatory policies and ensure coverage under the </w:t>
      </w:r>
      <w:r w:rsidR="006D509E" w:rsidRPr="00D349E0">
        <w:rPr>
          <w:rFonts w:ascii="Arial" w:hAnsi="Arial" w:cs="Arial"/>
          <w:i/>
          <w:sz w:val="22"/>
          <w:szCs w:val="22"/>
        </w:rPr>
        <w:t>NAR’s insurance</w:t>
      </w:r>
      <w:r w:rsidR="00460BFE" w:rsidRPr="00D349E0">
        <w:rPr>
          <w:rFonts w:ascii="Arial" w:hAnsi="Arial" w:cs="Arial"/>
          <w:i/>
          <w:sz w:val="22"/>
          <w:szCs w:val="22"/>
        </w:rPr>
        <w:t xml:space="preserve"> policy</w:t>
      </w:r>
      <w:r w:rsidR="006D509E" w:rsidRPr="00D349E0">
        <w:rPr>
          <w:rFonts w:ascii="Arial" w:hAnsi="Arial" w:cs="Arial"/>
          <w:i/>
          <w:sz w:val="22"/>
          <w:szCs w:val="22"/>
        </w:rPr>
        <w:t xml:space="preserve"> for associations and MLSs</w:t>
      </w:r>
      <w:r w:rsidR="00460BFE" w:rsidRPr="00D349E0">
        <w:rPr>
          <w:rFonts w:ascii="Arial" w:hAnsi="Arial" w:cs="Arial"/>
          <w:i/>
          <w:sz w:val="22"/>
          <w:szCs w:val="22"/>
        </w:rPr>
        <w:t>.</w:t>
      </w:r>
      <w:r w:rsidR="00176397">
        <w:rPr>
          <w:rFonts w:ascii="Arial" w:hAnsi="Arial" w:cs="Arial"/>
          <w:i/>
          <w:sz w:val="22"/>
          <w:szCs w:val="22"/>
        </w:rPr>
        <w:t xml:space="preserve">  </w:t>
      </w:r>
      <w:r w:rsidR="00AB3498">
        <w:rPr>
          <w:rFonts w:ascii="Arial" w:hAnsi="Arial" w:cs="Arial"/>
          <w:i/>
          <w:sz w:val="22"/>
          <w:szCs w:val="22"/>
        </w:rPr>
        <w:t xml:space="preserve">Unless indicated otherwise, </w:t>
      </w:r>
      <w:r w:rsidR="004957C2">
        <w:rPr>
          <w:rFonts w:ascii="Arial" w:hAnsi="Arial" w:cs="Arial"/>
          <w:i/>
          <w:sz w:val="22"/>
          <w:szCs w:val="22"/>
        </w:rPr>
        <w:t xml:space="preserve">local adoption is required </w:t>
      </w:r>
      <w:r w:rsidR="00FB0BC4">
        <w:rPr>
          <w:rFonts w:ascii="Arial" w:hAnsi="Arial" w:cs="Arial"/>
          <w:i/>
          <w:sz w:val="22"/>
          <w:szCs w:val="22"/>
        </w:rPr>
        <w:t>by March 1, 2022.</w:t>
      </w:r>
    </w:p>
    <w:p w14:paraId="57B09AF5" w14:textId="77777777" w:rsidR="00D63D57" w:rsidRPr="00D349E0" w:rsidRDefault="00D63D57" w:rsidP="00837200">
      <w:pPr>
        <w:rPr>
          <w:rFonts w:ascii="Arial" w:hAnsi="Arial" w:cs="Arial"/>
          <w:sz w:val="22"/>
          <w:szCs w:val="22"/>
        </w:rPr>
      </w:pPr>
    </w:p>
    <w:p w14:paraId="648013CE" w14:textId="2D6106FE" w:rsidR="00432C1B" w:rsidRPr="00D349E0" w:rsidRDefault="007822F5" w:rsidP="005A30B9">
      <w:pPr>
        <w:pStyle w:val="Heading1"/>
        <w:rPr>
          <w:rFonts w:ascii="Arial" w:hAnsi="Arial" w:cs="Arial"/>
          <w:b w:val="0"/>
          <w:iCs/>
          <w:sz w:val="22"/>
          <w:szCs w:val="22"/>
        </w:rPr>
      </w:pPr>
      <w:r w:rsidRPr="00D349E0">
        <w:rPr>
          <w:rFonts w:ascii="Arial" w:hAnsi="Arial" w:cs="Arial"/>
          <w:sz w:val="22"/>
          <w:szCs w:val="22"/>
        </w:rPr>
        <w:t xml:space="preserve">Changes to Model MLS Rules and Regulations  </w:t>
      </w:r>
      <w:r w:rsidR="005A30B9" w:rsidRPr="00D349E0">
        <w:rPr>
          <w:rFonts w:ascii="Arial" w:hAnsi="Arial" w:cs="Arial"/>
          <w:sz w:val="22"/>
          <w:szCs w:val="22"/>
        </w:rPr>
        <w:br/>
      </w:r>
    </w:p>
    <w:p w14:paraId="2084B8B4" w14:textId="77777777" w:rsidR="00E214EB" w:rsidRPr="00D349E0" w:rsidRDefault="007122D7" w:rsidP="002238F9">
      <w:pPr>
        <w:keepLines/>
        <w:numPr>
          <w:ilvl w:val="0"/>
          <w:numId w:val="7"/>
        </w:numPr>
        <w:spacing w:line="254" w:lineRule="auto"/>
        <w:rPr>
          <w:rFonts w:ascii="Arial" w:hAnsi="Arial" w:cs="Arial"/>
          <w:b/>
          <w:bCs/>
          <w:sz w:val="22"/>
          <w:szCs w:val="22"/>
        </w:rPr>
      </w:pPr>
      <w:r w:rsidRPr="00D349E0">
        <w:rPr>
          <w:rFonts w:ascii="Arial" w:hAnsi="Arial" w:cs="Arial"/>
          <w:b/>
          <w:bCs/>
          <w:iCs/>
          <w:sz w:val="22"/>
          <w:szCs w:val="22"/>
        </w:rPr>
        <w:t xml:space="preserve">(New) </w:t>
      </w:r>
      <w:r w:rsidR="0058292F" w:rsidRPr="00D349E0">
        <w:rPr>
          <w:rFonts w:ascii="Arial" w:hAnsi="Arial" w:cs="Arial"/>
          <w:b/>
          <w:bCs/>
          <w:iCs/>
          <w:sz w:val="22"/>
          <w:szCs w:val="22"/>
        </w:rPr>
        <w:t>Section 1.1</w:t>
      </w:r>
      <w:r w:rsidR="00E214EB" w:rsidRPr="00D349E0">
        <w:rPr>
          <w:rFonts w:ascii="Arial" w:hAnsi="Arial" w:cs="Arial"/>
          <w:b/>
          <w:bCs/>
          <w:iCs/>
          <w:sz w:val="22"/>
          <w:szCs w:val="22"/>
        </w:rPr>
        <w:t>6</w:t>
      </w:r>
      <w:r w:rsidR="00A15237" w:rsidRPr="00D349E0">
        <w:rPr>
          <w:rFonts w:ascii="Arial" w:hAnsi="Arial" w:cs="Arial"/>
          <w:b/>
          <w:bCs/>
          <w:iCs/>
          <w:sz w:val="22"/>
          <w:szCs w:val="22"/>
        </w:rPr>
        <w:t xml:space="preserve">, </w:t>
      </w:r>
      <w:r w:rsidR="00E214EB" w:rsidRPr="00D349E0">
        <w:rPr>
          <w:rFonts w:ascii="Arial" w:hAnsi="Arial" w:cs="Arial"/>
          <w:b/>
          <w:bCs/>
          <w:sz w:val="22"/>
          <w:szCs w:val="22"/>
        </w:rPr>
        <w:t>Property Addresses</w:t>
      </w:r>
    </w:p>
    <w:p w14:paraId="598A29D8" w14:textId="121825CF" w:rsidR="001441BC" w:rsidRPr="001441BC" w:rsidRDefault="001441BC" w:rsidP="001441BC">
      <w:pPr>
        <w:keepLines/>
        <w:ind w:left="360"/>
        <w:rPr>
          <w:rFonts w:ascii="Arial" w:hAnsi="Arial" w:cs="Arial"/>
          <w:b/>
          <w:color w:val="FF0000"/>
          <w:sz w:val="22"/>
          <w:szCs w:val="22"/>
        </w:rPr>
      </w:pPr>
      <w:r w:rsidRPr="001441BC">
        <w:rPr>
          <w:rFonts w:ascii="Arial" w:hAnsi="Arial" w:cs="Arial"/>
          <w:bCs/>
          <w:sz w:val="22"/>
          <w:szCs w:val="22"/>
        </w:rPr>
        <w:t xml:space="preserve">At the time of filing a listing, </w:t>
      </w:r>
      <w:r w:rsidR="00DE6678">
        <w:rPr>
          <w:rFonts w:ascii="Arial" w:hAnsi="Arial" w:cs="Arial"/>
          <w:bCs/>
          <w:sz w:val="22"/>
          <w:szCs w:val="22"/>
        </w:rPr>
        <w:t>p</w:t>
      </w:r>
      <w:r w:rsidRPr="001441BC">
        <w:rPr>
          <w:rFonts w:ascii="Arial" w:hAnsi="Arial" w:cs="Arial"/>
          <w:bCs/>
          <w:sz w:val="22"/>
          <w:szCs w:val="22"/>
        </w:rPr>
        <w:t xml:space="preserve">articipants and </w:t>
      </w:r>
      <w:r w:rsidR="00DE6678">
        <w:rPr>
          <w:rFonts w:ascii="Arial" w:hAnsi="Arial" w:cs="Arial"/>
          <w:bCs/>
          <w:sz w:val="22"/>
          <w:szCs w:val="22"/>
        </w:rPr>
        <w:t>s</w:t>
      </w:r>
      <w:r w:rsidRPr="001441BC">
        <w:rPr>
          <w:rFonts w:ascii="Arial" w:hAnsi="Arial" w:cs="Arial"/>
          <w:bCs/>
          <w:sz w:val="22"/>
          <w:szCs w:val="22"/>
        </w:rPr>
        <w:t xml:space="preserve">ubscribers must include a property address available to other </w:t>
      </w:r>
      <w:r>
        <w:rPr>
          <w:rFonts w:ascii="Arial" w:hAnsi="Arial" w:cs="Arial"/>
          <w:bCs/>
          <w:sz w:val="22"/>
          <w:szCs w:val="22"/>
        </w:rPr>
        <w:t>p</w:t>
      </w:r>
      <w:r w:rsidRPr="001441BC">
        <w:rPr>
          <w:rFonts w:ascii="Arial" w:hAnsi="Arial" w:cs="Arial"/>
          <w:bCs/>
          <w:sz w:val="22"/>
          <w:szCs w:val="22"/>
        </w:rPr>
        <w:t xml:space="preserve">articipants and </w:t>
      </w:r>
      <w:r>
        <w:rPr>
          <w:rFonts w:ascii="Arial" w:hAnsi="Arial" w:cs="Arial"/>
          <w:bCs/>
          <w:sz w:val="22"/>
          <w:szCs w:val="22"/>
        </w:rPr>
        <w:t>s</w:t>
      </w:r>
      <w:r w:rsidRPr="001441BC">
        <w:rPr>
          <w:rFonts w:ascii="Arial" w:hAnsi="Arial" w:cs="Arial"/>
          <w:bCs/>
          <w:sz w:val="22"/>
          <w:szCs w:val="22"/>
        </w:rPr>
        <w:t xml:space="preserve">ubscribers, and if an address doesn’t exist a parcel identification number can be used.  Where an address or parcel identification number are unavailable, the information filed with the MLS must include a legal description of the property sufficient to describe its location. </w:t>
      </w:r>
      <w:r w:rsidRPr="001441BC">
        <w:rPr>
          <w:rFonts w:ascii="Arial" w:hAnsi="Arial" w:cs="Arial"/>
          <w:b/>
          <w:color w:val="FF0000"/>
          <w:sz w:val="22"/>
          <w:szCs w:val="22"/>
        </w:rPr>
        <w:t>M</w:t>
      </w:r>
    </w:p>
    <w:p w14:paraId="2AC9CC30" w14:textId="77777777" w:rsidR="00A70210" w:rsidRPr="00D349E0" w:rsidRDefault="00A70210" w:rsidP="00432C1B">
      <w:pPr>
        <w:spacing w:line="254" w:lineRule="auto"/>
        <w:ind w:left="360"/>
        <w:rPr>
          <w:rFonts w:ascii="Arial" w:hAnsi="Arial" w:cs="Arial"/>
          <w:b/>
          <w:bCs/>
          <w:iCs/>
          <w:sz w:val="22"/>
          <w:szCs w:val="22"/>
        </w:rPr>
      </w:pPr>
    </w:p>
    <w:p w14:paraId="1AAB25B5" w14:textId="77777777" w:rsidR="0058292F" w:rsidRPr="00D349E0" w:rsidRDefault="003F43BC" w:rsidP="002238F9">
      <w:pPr>
        <w:numPr>
          <w:ilvl w:val="0"/>
          <w:numId w:val="7"/>
        </w:numPr>
        <w:spacing w:line="254" w:lineRule="auto"/>
        <w:rPr>
          <w:rFonts w:ascii="Arial" w:hAnsi="Arial" w:cs="Arial"/>
          <w:b/>
          <w:bCs/>
          <w:iCs/>
          <w:sz w:val="22"/>
          <w:szCs w:val="22"/>
        </w:rPr>
      </w:pPr>
      <w:r w:rsidRPr="00D349E0">
        <w:rPr>
          <w:rFonts w:ascii="Arial" w:hAnsi="Arial" w:cs="Arial"/>
          <w:b/>
          <w:bCs/>
          <w:iCs/>
          <w:sz w:val="22"/>
          <w:szCs w:val="22"/>
        </w:rPr>
        <w:t xml:space="preserve">(New) </w:t>
      </w:r>
      <w:r w:rsidR="0058292F" w:rsidRPr="00D349E0">
        <w:rPr>
          <w:rFonts w:ascii="Arial" w:hAnsi="Arial" w:cs="Arial"/>
          <w:b/>
          <w:bCs/>
          <w:iCs/>
          <w:sz w:val="22"/>
          <w:szCs w:val="22"/>
        </w:rPr>
        <w:t>Section 4.5</w:t>
      </w:r>
      <w:r w:rsidR="00A15237" w:rsidRPr="00D349E0">
        <w:rPr>
          <w:rFonts w:ascii="Arial" w:hAnsi="Arial" w:cs="Arial"/>
          <w:b/>
          <w:bCs/>
          <w:iCs/>
          <w:sz w:val="22"/>
          <w:szCs w:val="22"/>
        </w:rPr>
        <w:t xml:space="preserve">, </w:t>
      </w:r>
      <w:r w:rsidR="0058292F" w:rsidRPr="00D349E0">
        <w:rPr>
          <w:rFonts w:ascii="Arial" w:hAnsi="Arial" w:cs="Arial"/>
          <w:b/>
          <w:bCs/>
          <w:iCs/>
          <w:sz w:val="22"/>
          <w:szCs w:val="22"/>
        </w:rPr>
        <w:t>Services Advertised as “Free</w:t>
      </w:r>
      <w:r w:rsidR="00A15237" w:rsidRPr="00D349E0">
        <w:rPr>
          <w:rFonts w:ascii="Arial" w:hAnsi="Arial" w:cs="Arial"/>
          <w:b/>
          <w:bCs/>
          <w:iCs/>
          <w:sz w:val="22"/>
          <w:szCs w:val="22"/>
        </w:rPr>
        <w:t>”</w:t>
      </w:r>
    </w:p>
    <w:p w14:paraId="32D2432F" w14:textId="30F84393" w:rsidR="0058292F" w:rsidRPr="00D349E0" w:rsidRDefault="0058292F" w:rsidP="0058292F">
      <w:pPr>
        <w:pStyle w:val="Default"/>
        <w:spacing w:line="201" w:lineRule="atLeast"/>
        <w:ind w:left="360"/>
        <w:rPr>
          <w:rFonts w:ascii="Arial" w:hAnsi="Arial" w:cs="Arial"/>
          <w:b/>
          <w:color w:val="FF0000"/>
          <w:sz w:val="22"/>
          <w:szCs w:val="22"/>
        </w:rPr>
      </w:pPr>
      <w:r w:rsidRPr="00D349E0">
        <w:rPr>
          <w:rFonts w:ascii="Arial" w:hAnsi="Arial" w:cs="Arial"/>
          <w:bCs/>
          <w:iCs/>
          <w:sz w:val="22"/>
          <w:szCs w:val="22"/>
        </w:rPr>
        <w:t xml:space="preserve">MLS </w:t>
      </w:r>
      <w:r w:rsidR="009B2F77">
        <w:rPr>
          <w:rFonts w:ascii="Arial" w:hAnsi="Arial" w:cs="Arial"/>
          <w:bCs/>
          <w:iCs/>
          <w:sz w:val="22"/>
          <w:szCs w:val="22"/>
        </w:rPr>
        <w:t>p</w:t>
      </w:r>
      <w:r w:rsidRPr="00D349E0">
        <w:rPr>
          <w:rFonts w:ascii="Arial" w:hAnsi="Arial" w:cs="Arial"/>
          <w:bCs/>
          <w:iCs/>
          <w:sz w:val="22"/>
          <w:szCs w:val="22"/>
        </w:rPr>
        <w:t xml:space="preserve">articipants and </w:t>
      </w:r>
      <w:r w:rsidR="009B2F77">
        <w:rPr>
          <w:rFonts w:ascii="Arial" w:hAnsi="Arial" w:cs="Arial"/>
          <w:bCs/>
          <w:iCs/>
          <w:sz w:val="22"/>
          <w:szCs w:val="22"/>
        </w:rPr>
        <w:t>s</w:t>
      </w:r>
      <w:r w:rsidRPr="00D349E0">
        <w:rPr>
          <w:rFonts w:ascii="Arial" w:hAnsi="Arial" w:cs="Arial"/>
          <w:bCs/>
          <w:iCs/>
          <w:sz w:val="22"/>
          <w:szCs w:val="22"/>
        </w:rPr>
        <w:t xml:space="preserve">ubscribers must not represent that their brokerage services to a client or customer are free or available at no cost to their clients, unless the </w:t>
      </w:r>
      <w:r w:rsidR="009B2F77">
        <w:rPr>
          <w:rFonts w:ascii="Arial" w:hAnsi="Arial" w:cs="Arial"/>
          <w:bCs/>
          <w:iCs/>
          <w:sz w:val="22"/>
          <w:szCs w:val="22"/>
        </w:rPr>
        <w:t>p</w:t>
      </w:r>
      <w:r w:rsidRPr="00D349E0">
        <w:rPr>
          <w:rFonts w:ascii="Arial" w:hAnsi="Arial" w:cs="Arial"/>
          <w:bCs/>
          <w:iCs/>
          <w:sz w:val="22"/>
          <w:szCs w:val="22"/>
        </w:rPr>
        <w:t xml:space="preserve">articipant or </w:t>
      </w:r>
      <w:r w:rsidR="00697619">
        <w:rPr>
          <w:rFonts w:ascii="Arial" w:hAnsi="Arial" w:cs="Arial"/>
          <w:bCs/>
          <w:iCs/>
          <w:sz w:val="22"/>
          <w:szCs w:val="22"/>
        </w:rPr>
        <w:t>s</w:t>
      </w:r>
      <w:r w:rsidRPr="00D349E0">
        <w:rPr>
          <w:rFonts w:ascii="Arial" w:hAnsi="Arial" w:cs="Arial"/>
          <w:bCs/>
          <w:iCs/>
          <w:sz w:val="22"/>
          <w:szCs w:val="22"/>
        </w:rPr>
        <w:t>ubscriber will receive no financial compensation from any source for those services.</w:t>
      </w:r>
      <w:r w:rsidRPr="00D349E0">
        <w:rPr>
          <w:rFonts w:ascii="Arial" w:hAnsi="Arial" w:cs="Arial"/>
          <w:b/>
          <w:color w:val="FF0000"/>
          <w:sz w:val="22"/>
          <w:szCs w:val="22"/>
        </w:rPr>
        <w:t xml:space="preserve"> M</w:t>
      </w:r>
    </w:p>
    <w:p w14:paraId="47681EEA" w14:textId="77777777" w:rsidR="0058292F" w:rsidRPr="00D349E0" w:rsidRDefault="0058292F" w:rsidP="0058292F">
      <w:pPr>
        <w:pStyle w:val="Default"/>
        <w:spacing w:line="201" w:lineRule="atLeast"/>
        <w:ind w:left="360"/>
        <w:rPr>
          <w:rFonts w:ascii="Arial" w:hAnsi="Arial" w:cs="Arial"/>
          <w:b/>
          <w:i/>
          <w:sz w:val="22"/>
          <w:szCs w:val="22"/>
        </w:rPr>
      </w:pPr>
    </w:p>
    <w:p w14:paraId="0076E3BC" w14:textId="77777777" w:rsidR="00E36E7D" w:rsidRPr="00D349E0" w:rsidRDefault="003F43BC" w:rsidP="002238F9">
      <w:pPr>
        <w:numPr>
          <w:ilvl w:val="0"/>
          <w:numId w:val="7"/>
        </w:numPr>
        <w:spacing w:line="254" w:lineRule="auto"/>
        <w:rPr>
          <w:rFonts w:ascii="Arial" w:hAnsi="Arial" w:cs="Arial"/>
          <w:b/>
          <w:bCs/>
          <w:iCs/>
          <w:sz w:val="22"/>
          <w:szCs w:val="22"/>
        </w:rPr>
      </w:pPr>
      <w:r w:rsidRPr="00D349E0">
        <w:rPr>
          <w:rFonts w:ascii="Arial" w:hAnsi="Arial" w:cs="Arial"/>
          <w:b/>
          <w:bCs/>
          <w:iCs/>
          <w:sz w:val="22"/>
          <w:szCs w:val="22"/>
        </w:rPr>
        <w:t xml:space="preserve">(New) </w:t>
      </w:r>
      <w:r w:rsidR="00E36E7D" w:rsidRPr="00D349E0">
        <w:rPr>
          <w:rFonts w:ascii="Arial" w:hAnsi="Arial" w:cs="Arial"/>
          <w:b/>
          <w:bCs/>
          <w:iCs/>
          <w:sz w:val="22"/>
          <w:szCs w:val="22"/>
        </w:rPr>
        <w:t>Section 5.4</w:t>
      </w:r>
      <w:r w:rsidR="00A15237" w:rsidRPr="00D349E0">
        <w:rPr>
          <w:rFonts w:ascii="Arial" w:hAnsi="Arial" w:cs="Arial"/>
          <w:b/>
          <w:bCs/>
          <w:iCs/>
          <w:sz w:val="22"/>
          <w:szCs w:val="22"/>
        </w:rPr>
        <w:t xml:space="preserve">, </w:t>
      </w:r>
      <w:r w:rsidR="00E36E7D" w:rsidRPr="00D349E0">
        <w:rPr>
          <w:rFonts w:ascii="Arial" w:hAnsi="Arial" w:cs="Arial"/>
          <w:b/>
          <w:bCs/>
          <w:iCs/>
          <w:sz w:val="22"/>
          <w:szCs w:val="22"/>
        </w:rPr>
        <w:t>Display of Listing Broker’s Offer of Compensation</w:t>
      </w:r>
    </w:p>
    <w:p w14:paraId="6C0B45E9" w14:textId="37744276" w:rsidR="00E36E7D" w:rsidRPr="00D349E0" w:rsidRDefault="00E36E7D" w:rsidP="00E36E7D">
      <w:pPr>
        <w:ind w:left="360"/>
        <w:rPr>
          <w:rFonts w:ascii="Arial" w:hAnsi="Arial" w:cs="Arial"/>
          <w:iCs/>
          <w:sz w:val="22"/>
          <w:szCs w:val="22"/>
        </w:rPr>
      </w:pPr>
      <w:r w:rsidRPr="00D349E0">
        <w:rPr>
          <w:rFonts w:ascii="Arial" w:hAnsi="Arial" w:cs="Arial"/>
          <w:iCs/>
          <w:sz w:val="22"/>
          <w:szCs w:val="22"/>
        </w:rPr>
        <w:t xml:space="preserve">Participants and </w:t>
      </w:r>
      <w:r w:rsidR="00883B42">
        <w:rPr>
          <w:rFonts w:ascii="Arial" w:hAnsi="Arial" w:cs="Arial"/>
          <w:iCs/>
          <w:sz w:val="22"/>
          <w:szCs w:val="22"/>
        </w:rPr>
        <w:t>s</w:t>
      </w:r>
      <w:r w:rsidRPr="00D349E0">
        <w:rPr>
          <w:rFonts w:ascii="Arial" w:hAnsi="Arial" w:cs="Arial"/>
          <w:iCs/>
          <w:sz w:val="22"/>
          <w:szCs w:val="22"/>
        </w:rPr>
        <w:t xml:space="preserve">ubscribers who share the listing broker’s offer of compensation for an active listing must display </w:t>
      </w:r>
      <w:r w:rsidR="007C7CF9">
        <w:rPr>
          <w:rFonts w:ascii="Arial" w:hAnsi="Arial" w:cs="Arial"/>
          <w:iCs/>
          <w:sz w:val="22"/>
          <w:szCs w:val="22"/>
        </w:rPr>
        <w:t>the</w:t>
      </w:r>
      <w:r w:rsidR="007C7CF9" w:rsidRPr="00D349E0">
        <w:rPr>
          <w:rFonts w:ascii="Arial" w:hAnsi="Arial" w:cs="Arial"/>
          <w:iCs/>
          <w:sz w:val="22"/>
          <w:szCs w:val="22"/>
        </w:rPr>
        <w:t xml:space="preserve"> </w:t>
      </w:r>
      <w:r w:rsidRPr="00D349E0">
        <w:rPr>
          <w:rFonts w:ascii="Arial" w:hAnsi="Arial" w:cs="Arial"/>
          <w:iCs/>
          <w:sz w:val="22"/>
          <w:szCs w:val="22"/>
        </w:rPr>
        <w:t xml:space="preserve">following </w:t>
      </w:r>
      <w:r w:rsidR="007C7CF9">
        <w:rPr>
          <w:rFonts w:ascii="Arial" w:hAnsi="Arial" w:cs="Arial"/>
          <w:iCs/>
          <w:sz w:val="22"/>
          <w:szCs w:val="22"/>
        </w:rPr>
        <w:t xml:space="preserve">disclaimer </w:t>
      </w:r>
      <w:r w:rsidRPr="00D349E0">
        <w:rPr>
          <w:rFonts w:ascii="Arial" w:hAnsi="Arial" w:cs="Arial"/>
          <w:iCs/>
          <w:sz w:val="22"/>
          <w:szCs w:val="22"/>
        </w:rPr>
        <w:t xml:space="preserve">or </w:t>
      </w:r>
      <w:r w:rsidR="007C7CF9">
        <w:rPr>
          <w:rFonts w:ascii="Arial" w:hAnsi="Arial" w:cs="Arial"/>
          <w:iCs/>
          <w:sz w:val="22"/>
          <w:szCs w:val="22"/>
        </w:rPr>
        <w:t xml:space="preserve">something </w:t>
      </w:r>
      <w:r w:rsidRPr="00D349E0">
        <w:rPr>
          <w:rFonts w:ascii="Arial" w:hAnsi="Arial" w:cs="Arial"/>
          <w:iCs/>
          <w:sz w:val="22"/>
          <w:szCs w:val="22"/>
        </w:rPr>
        <w:t xml:space="preserve">similar.  </w:t>
      </w:r>
    </w:p>
    <w:p w14:paraId="0785F8B4" w14:textId="77777777" w:rsidR="00E36E7D" w:rsidRPr="00D349E0" w:rsidRDefault="00E36E7D" w:rsidP="00E36E7D">
      <w:pPr>
        <w:ind w:left="360"/>
        <w:rPr>
          <w:rFonts w:ascii="Arial" w:hAnsi="Arial" w:cs="Arial"/>
          <w:iCs/>
          <w:sz w:val="22"/>
          <w:szCs w:val="22"/>
        </w:rPr>
      </w:pPr>
    </w:p>
    <w:p w14:paraId="39A2D68D" w14:textId="77777777" w:rsidR="00E36E7D" w:rsidRPr="00D349E0" w:rsidRDefault="00E36E7D" w:rsidP="009153E5">
      <w:pPr>
        <w:ind w:left="360"/>
        <w:rPr>
          <w:rFonts w:ascii="Arial" w:hAnsi="Arial" w:cs="Arial"/>
          <w:i/>
          <w:sz w:val="22"/>
          <w:szCs w:val="22"/>
        </w:rPr>
      </w:pPr>
      <w:r w:rsidRPr="00D349E0">
        <w:rPr>
          <w:rFonts w:ascii="Arial" w:hAnsi="Arial" w:cs="Arial"/>
          <w:i/>
          <w:sz w:val="22"/>
          <w:szCs w:val="22"/>
        </w:rPr>
        <w:t xml:space="preserve">The listing broker’s offer of compensation is made only to participants of the MLS where the listing is filed. </w:t>
      </w:r>
      <w:r w:rsidRPr="00D349E0">
        <w:rPr>
          <w:rFonts w:ascii="Arial" w:hAnsi="Arial" w:cs="Arial"/>
          <w:b/>
          <w:bCs/>
          <w:i/>
          <w:color w:val="FF0000"/>
          <w:sz w:val="22"/>
          <w:szCs w:val="22"/>
        </w:rPr>
        <w:t>M</w:t>
      </w:r>
      <w:r w:rsidRPr="00D349E0">
        <w:rPr>
          <w:rFonts w:ascii="Arial" w:hAnsi="Arial" w:cs="Arial"/>
          <w:i/>
          <w:sz w:val="22"/>
          <w:szCs w:val="22"/>
        </w:rPr>
        <w:t xml:space="preserve"> </w:t>
      </w:r>
    </w:p>
    <w:p w14:paraId="370DABCD" w14:textId="77777777" w:rsidR="00E36E7D" w:rsidRPr="00D349E0" w:rsidRDefault="00E36E7D" w:rsidP="00432C1B">
      <w:pPr>
        <w:spacing w:line="254" w:lineRule="auto"/>
        <w:ind w:left="360"/>
        <w:rPr>
          <w:rFonts w:ascii="Arial" w:hAnsi="Arial" w:cs="Arial"/>
          <w:b/>
          <w:bCs/>
          <w:iCs/>
          <w:sz w:val="22"/>
          <w:szCs w:val="22"/>
        </w:rPr>
      </w:pPr>
    </w:p>
    <w:p w14:paraId="2284A361" w14:textId="77777777" w:rsidR="00A15237" w:rsidRPr="00D349E0" w:rsidRDefault="005A30B9" w:rsidP="002238F9">
      <w:pPr>
        <w:numPr>
          <w:ilvl w:val="0"/>
          <w:numId w:val="7"/>
        </w:numPr>
        <w:spacing w:line="254" w:lineRule="auto"/>
        <w:rPr>
          <w:rFonts w:ascii="Arial" w:hAnsi="Arial" w:cs="Arial"/>
          <w:iCs/>
          <w:sz w:val="22"/>
          <w:szCs w:val="22"/>
        </w:rPr>
      </w:pPr>
      <w:r w:rsidRPr="00D349E0">
        <w:rPr>
          <w:rFonts w:ascii="Arial" w:hAnsi="Arial" w:cs="Arial"/>
          <w:b/>
          <w:bCs/>
          <w:iCs/>
          <w:sz w:val="22"/>
          <w:szCs w:val="22"/>
        </w:rPr>
        <w:t xml:space="preserve">Section </w:t>
      </w:r>
      <w:r w:rsidR="00432C1B" w:rsidRPr="00D349E0">
        <w:rPr>
          <w:rFonts w:ascii="Arial" w:hAnsi="Arial" w:cs="Arial"/>
          <w:b/>
          <w:bCs/>
          <w:iCs/>
          <w:sz w:val="22"/>
          <w:szCs w:val="22"/>
        </w:rPr>
        <w:t>18.2.4</w:t>
      </w:r>
    </w:p>
    <w:p w14:paraId="557C73CA" w14:textId="09D63382" w:rsidR="00432C1B" w:rsidRPr="00D349E0" w:rsidRDefault="00432C1B" w:rsidP="00A15237">
      <w:pPr>
        <w:spacing w:line="254" w:lineRule="auto"/>
        <w:ind w:left="360"/>
        <w:rPr>
          <w:rFonts w:ascii="Arial" w:hAnsi="Arial" w:cs="Arial"/>
          <w:iCs/>
          <w:sz w:val="22"/>
          <w:szCs w:val="22"/>
        </w:rPr>
      </w:pPr>
      <w:r w:rsidRPr="00D349E0">
        <w:rPr>
          <w:rFonts w:ascii="Arial" w:hAnsi="Arial" w:cs="Arial"/>
          <w:iCs/>
          <w:sz w:val="22"/>
          <w:szCs w:val="22"/>
        </w:rPr>
        <w:t>Participants may select the listings they choose to display through IDX based only on objective criteria including, but not limited to, factors such as geography or location (“uptown,” “downtown,” etc.), list price</w:t>
      </w:r>
      <w:r w:rsidR="000D038A" w:rsidRPr="000D038A">
        <w:rPr>
          <w:rFonts w:ascii="Arial" w:hAnsi="Arial" w:cs="Arial"/>
          <w:iCs/>
          <w:strike/>
          <w:sz w:val="22"/>
          <w:szCs w:val="22"/>
        </w:rPr>
        <w:t>,</w:t>
      </w:r>
      <w:r w:rsidR="00183FC4">
        <w:rPr>
          <w:rFonts w:ascii="Arial" w:hAnsi="Arial" w:cs="Arial"/>
          <w:iCs/>
          <w:sz w:val="22"/>
          <w:szCs w:val="22"/>
        </w:rPr>
        <w:t xml:space="preserve"> </w:t>
      </w:r>
      <w:r w:rsidR="000D038A">
        <w:rPr>
          <w:rFonts w:ascii="Arial" w:hAnsi="Arial" w:cs="Arial"/>
          <w:iCs/>
          <w:sz w:val="22"/>
          <w:szCs w:val="22"/>
          <w:u w:val="single"/>
        </w:rPr>
        <w:t xml:space="preserve">or </w:t>
      </w:r>
      <w:r w:rsidRPr="00D349E0">
        <w:rPr>
          <w:rFonts w:ascii="Arial" w:hAnsi="Arial" w:cs="Arial"/>
          <w:iCs/>
          <w:sz w:val="22"/>
          <w:szCs w:val="22"/>
        </w:rPr>
        <w:t>type of property (e.g., condominiums, cooperatives, single-family detached, multi-family)</w:t>
      </w:r>
      <w:r w:rsidRPr="00D349E0">
        <w:rPr>
          <w:rFonts w:ascii="Arial" w:hAnsi="Arial" w:cs="Arial"/>
          <w:iCs/>
          <w:strike/>
          <w:sz w:val="22"/>
          <w:szCs w:val="22"/>
        </w:rPr>
        <w:t>, cooperative compensation offered by listing brokers</w:t>
      </w:r>
      <w:r w:rsidRPr="00D349E0">
        <w:rPr>
          <w:rFonts w:ascii="Arial" w:hAnsi="Arial" w:cs="Arial"/>
          <w:iCs/>
          <w:sz w:val="22"/>
          <w:szCs w:val="22"/>
        </w:rPr>
        <w:t xml:space="preserve">, </w:t>
      </w:r>
      <w:r w:rsidRPr="00D349E0">
        <w:rPr>
          <w:rFonts w:ascii="Arial" w:hAnsi="Arial" w:cs="Arial"/>
          <w:iCs/>
          <w:sz w:val="22"/>
          <w:szCs w:val="22"/>
          <w:u w:val="single"/>
        </w:rPr>
        <w:t xml:space="preserve">or </w:t>
      </w:r>
      <w:r w:rsidRPr="00D349E0">
        <w:rPr>
          <w:rFonts w:ascii="Arial" w:hAnsi="Arial" w:cs="Arial"/>
          <w:iCs/>
          <w:sz w:val="22"/>
          <w:szCs w:val="22"/>
        </w:rPr>
        <w:t>type of listing (e.g., exclusive right-to-sell or exclusive agency)</w:t>
      </w:r>
      <w:r w:rsidRPr="00D349E0">
        <w:rPr>
          <w:rFonts w:ascii="Arial" w:hAnsi="Arial" w:cs="Arial"/>
          <w:iCs/>
          <w:strike/>
          <w:sz w:val="22"/>
          <w:szCs w:val="22"/>
        </w:rPr>
        <w:t xml:space="preserve">, or the level of service being provided by the listing firm. </w:t>
      </w:r>
      <w:r w:rsidRPr="00D349E0">
        <w:rPr>
          <w:rFonts w:ascii="Arial" w:hAnsi="Arial" w:cs="Arial"/>
          <w:iCs/>
          <w:sz w:val="22"/>
          <w:szCs w:val="22"/>
        </w:rPr>
        <w:t>Selection of listings displayed through IDX must be independently made by each participant.</w:t>
      </w:r>
      <w:r w:rsidR="00F238B6" w:rsidRPr="00D349E0">
        <w:rPr>
          <w:rFonts w:ascii="Arial" w:hAnsi="Arial" w:cs="Arial"/>
          <w:b/>
          <w:bCs/>
          <w:iCs/>
          <w:color w:val="FF0000"/>
          <w:sz w:val="22"/>
          <w:szCs w:val="22"/>
        </w:rPr>
        <w:t xml:space="preserve"> M</w:t>
      </w:r>
      <w:r w:rsidRPr="00D349E0">
        <w:rPr>
          <w:rFonts w:ascii="Arial" w:hAnsi="Arial" w:cs="Arial"/>
          <w:iCs/>
          <w:sz w:val="22"/>
          <w:szCs w:val="22"/>
        </w:rPr>
        <w:br/>
      </w:r>
    </w:p>
    <w:p w14:paraId="2272E506" w14:textId="77777777" w:rsidR="0058292F" w:rsidRPr="00D349E0" w:rsidRDefault="0058292F" w:rsidP="002238F9">
      <w:pPr>
        <w:numPr>
          <w:ilvl w:val="0"/>
          <w:numId w:val="7"/>
        </w:numPr>
        <w:spacing w:line="254" w:lineRule="auto"/>
        <w:rPr>
          <w:rFonts w:ascii="Arial" w:hAnsi="Arial" w:cs="Arial"/>
          <w:b/>
          <w:bCs/>
          <w:iCs/>
          <w:sz w:val="22"/>
          <w:szCs w:val="22"/>
        </w:rPr>
      </w:pPr>
      <w:r w:rsidRPr="00D349E0">
        <w:rPr>
          <w:rFonts w:ascii="Arial" w:hAnsi="Arial" w:cs="Arial"/>
          <w:b/>
          <w:bCs/>
          <w:iCs/>
          <w:sz w:val="22"/>
          <w:szCs w:val="22"/>
        </w:rPr>
        <w:lastRenderedPageBreak/>
        <w:t>Section 18.2.12</w:t>
      </w:r>
    </w:p>
    <w:p w14:paraId="3E74E7E3" w14:textId="71CF7A99" w:rsidR="0031518F" w:rsidRDefault="0031518F" w:rsidP="0058292F">
      <w:pPr>
        <w:spacing w:line="254" w:lineRule="auto"/>
        <w:ind w:left="360"/>
        <w:rPr>
          <w:rFonts w:ascii="Arial" w:hAnsi="Arial" w:cs="Arial"/>
          <w:iCs/>
          <w:sz w:val="22"/>
          <w:szCs w:val="22"/>
        </w:rPr>
      </w:pPr>
    </w:p>
    <w:p w14:paraId="5C5328B3" w14:textId="769B08FB" w:rsidR="0031518F" w:rsidRDefault="0031518F" w:rsidP="0031518F">
      <w:pPr>
        <w:pStyle w:val="Pa21"/>
        <w:ind w:left="360"/>
        <w:rPr>
          <w:rFonts w:ascii="Arial" w:hAnsi="Arial" w:cs="Arial"/>
          <w:b/>
          <w:bCs/>
          <w:iCs/>
          <w:sz w:val="22"/>
          <w:szCs w:val="22"/>
        </w:rPr>
      </w:pPr>
      <w:r w:rsidRPr="0031518F">
        <w:rPr>
          <w:rFonts w:ascii="Arial" w:hAnsi="Arial" w:cs="Arial"/>
          <w:iCs/>
          <w:color w:val="FF0000"/>
          <w:sz w:val="22"/>
          <w:szCs w:val="22"/>
        </w:rPr>
        <w:t xml:space="preserve">(While the typical implementation deadline is March 1, 2022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3F9F4627" w14:textId="77777777" w:rsidR="0031518F" w:rsidRDefault="0031518F" w:rsidP="0058292F">
      <w:pPr>
        <w:spacing w:line="254" w:lineRule="auto"/>
        <w:ind w:left="360"/>
        <w:rPr>
          <w:rFonts w:ascii="Arial" w:hAnsi="Arial" w:cs="Arial"/>
          <w:iCs/>
          <w:sz w:val="22"/>
          <w:szCs w:val="22"/>
        </w:rPr>
      </w:pPr>
    </w:p>
    <w:p w14:paraId="7E7E3F77" w14:textId="0B05383F" w:rsidR="00E36E7D" w:rsidRPr="00D349E0" w:rsidRDefault="0058292F" w:rsidP="0031518F">
      <w:pPr>
        <w:spacing w:line="254" w:lineRule="auto"/>
        <w:ind w:left="360"/>
        <w:rPr>
          <w:rFonts w:ascii="Arial" w:hAnsi="Arial" w:cs="Arial"/>
          <w:b/>
          <w:bCs/>
          <w:iCs/>
          <w:sz w:val="22"/>
          <w:szCs w:val="22"/>
        </w:rPr>
      </w:pPr>
      <w:r w:rsidRPr="00D349E0">
        <w:rPr>
          <w:rFonts w:ascii="Arial" w:hAnsi="Arial" w:cs="Arial"/>
          <w:iCs/>
          <w:sz w:val="22"/>
          <w:szCs w:val="22"/>
        </w:rPr>
        <w:t>All listing displayed pursuant to IDX shall identify the listing firm</w:t>
      </w:r>
      <w:r w:rsidRPr="00D349E0">
        <w:rPr>
          <w:rFonts w:ascii="Arial" w:hAnsi="Arial" w:cs="Arial"/>
          <w:iCs/>
          <w:sz w:val="22"/>
          <w:szCs w:val="22"/>
          <w:u w:val="single"/>
        </w:rPr>
        <w:t>, and the email or phone number provided by the listing participant</w:t>
      </w:r>
      <w:r w:rsidRPr="00D349E0">
        <w:rPr>
          <w:rFonts w:ascii="Arial" w:hAnsi="Arial" w:cs="Arial"/>
          <w:iCs/>
          <w:sz w:val="22"/>
          <w:szCs w:val="22"/>
        </w:rPr>
        <w:t xml:space="preserve"> in a reasonably prominent location and in a readily visible color and typeface not smaller than the median used in the display of listing data. </w:t>
      </w:r>
      <w:r w:rsidR="00C77382" w:rsidRPr="00D349E0">
        <w:rPr>
          <w:rFonts w:ascii="Arial" w:hAnsi="Arial" w:cs="Arial"/>
          <w:b/>
          <w:bCs/>
          <w:iCs/>
          <w:color w:val="FF0000"/>
          <w:sz w:val="22"/>
          <w:szCs w:val="22"/>
        </w:rPr>
        <w:t>M</w:t>
      </w:r>
      <w:r w:rsidR="00C76A3D">
        <w:rPr>
          <w:rFonts w:ascii="Arial" w:hAnsi="Arial" w:cs="Arial"/>
          <w:b/>
          <w:bCs/>
          <w:iCs/>
          <w:color w:val="FF0000"/>
          <w:sz w:val="22"/>
          <w:szCs w:val="22"/>
        </w:rPr>
        <w:br/>
      </w:r>
      <w:bookmarkStart w:id="0" w:name="_Hlk94887898"/>
      <w:r w:rsidR="00567151">
        <w:rPr>
          <w:rFonts w:ascii="Arial" w:hAnsi="Arial" w:cs="Arial"/>
          <w:iCs/>
          <w:sz w:val="22"/>
          <w:szCs w:val="22"/>
        </w:rPr>
        <w:br/>
      </w:r>
      <w:bookmarkEnd w:id="0"/>
      <w:r w:rsidR="00E36E7D" w:rsidRPr="00D349E0">
        <w:rPr>
          <w:rFonts w:ascii="Arial" w:hAnsi="Arial" w:cs="Arial"/>
          <w:b/>
          <w:bCs/>
          <w:iCs/>
          <w:sz w:val="22"/>
          <w:szCs w:val="22"/>
        </w:rPr>
        <w:t>Section 18.3.1</w:t>
      </w:r>
    </w:p>
    <w:p w14:paraId="4C55BC54" w14:textId="77777777" w:rsidR="00E36E7D" w:rsidRPr="00D349E0" w:rsidRDefault="00E36E7D" w:rsidP="00E40CAF">
      <w:pPr>
        <w:pStyle w:val="ListParagraph"/>
        <w:spacing w:after="160" w:line="259" w:lineRule="auto"/>
        <w:ind w:left="360"/>
        <w:contextualSpacing/>
        <w:rPr>
          <w:rFonts w:ascii="Arial" w:hAnsi="Arial" w:cs="Arial"/>
          <w:sz w:val="22"/>
          <w:szCs w:val="22"/>
        </w:rPr>
      </w:pPr>
      <w:r w:rsidRPr="00D349E0">
        <w:rPr>
          <w:rFonts w:ascii="Arial" w:hAnsi="Arial" w:cs="Arial"/>
          <w:sz w:val="22"/>
          <w:szCs w:val="22"/>
        </w:rPr>
        <w:t xml:space="preserve">Listings displayed pursuant to IDX shall contain only those fields of data designated by the MLS. Display of all other fields (as determined by the MLS) is prohibited. Confidential fields intended only for other MLS participants and users (e.g., </w:t>
      </w:r>
      <w:r w:rsidRPr="00D349E0">
        <w:rPr>
          <w:rFonts w:ascii="Arial" w:hAnsi="Arial" w:cs="Arial"/>
          <w:strike/>
          <w:sz w:val="22"/>
          <w:szCs w:val="22"/>
        </w:rPr>
        <w:t>cooperative compensation offers</w:t>
      </w:r>
      <w:r w:rsidRPr="00D349E0">
        <w:rPr>
          <w:rFonts w:ascii="Arial" w:hAnsi="Arial" w:cs="Arial"/>
          <w:sz w:val="22"/>
          <w:szCs w:val="22"/>
        </w:rPr>
        <w:t xml:space="preserve"> </w:t>
      </w:r>
      <w:r w:rsidRPr="00D349E0">
        <w:rPr>
          <w:rFonts w:ascii="Arial" w:hAnsi="Arial" w:cs="Arial"/>
          <w:strike/>
          <w:sz w:val="22"/>
          <w:szCs w:val="22"/>
        </w:rPr>
        <w:t>cooperative compensation offers,</w:t>
      </w:r>
      <w:r w:rsidRPr="00D349E0">
        <w:rPr>
          <w:rFonts w:ascii="Arial" w:hAnsi="Arial" w:cs="Arial"/>
          <w:sz w:val="22"/>
          <w:szCs w:val="22"/>
        </w:rPr>
        <w:t xml:space="preserve"> showing instructions, </w:t>
      </w:r>
      <w:r w:rsidRPr="00D349E0">
        <w:rPr>
          <w:rFonts w:ascii="Arial" w:hAnsi="Arial" w:cs="Arial"/>
          <w:sz w:val="22"/>
          <w:szCs w:val="22"/>
          <w:u w:val="single"/>
        </w:rPr>
        <w:t xml:space="preserve">and </w:t>
      </w:r>
      <w:r w:rsidRPr="00D349E0">
        <w:rPr>
          <w:rFonts w:ascii="Arial" w:hAnsi="Arial" w:cs="Arial"/>
          <w:sz w:val="22"/>
          <w:szCs w:val="22"/>
        </w:rPr>
        <w:t>property security information</w:t>
      </w:r>
      <w:r w:rsidRPr="00D349E0">
        <w:rPr>
          <w:rFonts w:ascii="Arial" w:hAnsi="Arial" w:cs="Arial"/>
          <w:strike/>
          <w:sz w:val="22"/>
          <w:szCs w:val="22"/>
        </w:rPr>
        <w:t>, etc.</w:t>
      </w:r>
      <w:r w:rsidRPr="00D349E0">
        <w:rPr>
          <w:rFonts w:ascii="Arial" w:hAnsi="Arial" w:cs="Arial"/>
          <w:sz w:val="22"/>
          <w:szCs w:val="22"/>
        </w:rPr>
        <w:t xml:space="preserve">) may not be displayed. </w:t>
      </w:r>
      <w:r w:rsidR="00A15237" w:rsidRPr="00D349E0">
        <w:rPr>
          <w:rFonts w:ascii="Arial" w:hAnsi="Arial" w:cs="Arial"/>
          <w:b/>
          <w:bCs/>
          <w:iCs/>
          <w:color w:val="FF0000"/>
          <w:sz w:val="22"/>
          <w:szCs w:val="22"/>
        </w:rPr>
        <w:t>O</w:t>
      </w:r>
    </w:p>
    <w:p w14:paraId="1026C559" w14:textId="77777777" w:rsidR="00E40CAF" w:rsidRPr="00D349E0" w:rsidRDefault="00E40CAF" w:rsidP="00E40CAF">
      <w:pPr>
        <w:pStyle w:val="ListParagraph"/>
        <w:spacing w:line="259" w:lineRule="auto"/>
        <w:ind w:left="360"/>
        <w:contextualSpacing/>
        <w:rPr>
          <w:rFonts w:ascii="Arial" w:hAnsi="Arial" w:cs="Arial"/>
          <w:b/>
          <w:bCs/>
          <w:iCs/>
          <w:sz w:val="22"/>
          <w:szCs w:val="22"/>
        </w:rPr>
      </w:pPr>
    </w:p>
    <w:p w14:paraId="3A6DB136" w14:textId="77777777" w:rsidR="00A15237" w:rsidRPr="00D349E0" w:rsidRDefault="001B1DF9" w:rsidP="002238F9">
      <w:pPr>
        <w:pStyle w:val="Pa21"/>
        <w:numPr>
          <w:ilvl w:val="0"/>
          <w:numId w:val="7"/>
        </w:numPr>
        <w:rPr>
          <w:rFonts w:ascii="Arial" w:hAnsi="Arial" w:cs="Arial"/>
          <w:b/>
          <w:bCs/>
          <w:iCs/>
          <w:sz w:val="22"/>
          <w:szCs w:val="22"/>
        </w:rPr>
      </w:pPr>
      <w:r w:rsidRPr="00D349E0">
        <w:rPr>
          <w:rFonts w:ascii="Arial" w:hAnsi="Arial" w:cs="Arial"/>
          <w:b/>
          <w:bCs/>
          <w:iCs/>
          <w:sz w:val="22"/>
          <w:szCs w:val="22"/>
        </w:rPr>
        <w:t>Section 18.3.12</w:t>
      </w:r>
      <w:r w:rsidRPr="00D349E0">
        <w:rPr>
          <w:rFonts w:ascii="Arial" w:hAnsi="Arial" w:cs="Arial"/>
          <w:b/>
          <w:bCs/>
          <w:iCs/>
          <w:sz w:val="22"/>
          <w:szCs w:val="22"/>
        </w:rPr>
        <w:br/>
      </w:r>
      <w:r w:rsidRPr="00D349E0">
        <w:rPr>
          <w:rFonts w:ascii="Arial" w:hAnsi="Arial" w:cs="Arial"/>
          <w:iCs/>
          <w:sz w:val="22"/>
          <w:szCs w:val="22"/>
        </w:rPr>
        <w:t xml:space="preserve">Display of expired, </w:t>
      </w:r>
      <w:r w:rsidRPr="00D349E0">
        <w:rPr>
          <w:rFonts w:ascii="Arial" w:hAnsi="Arial" w:cs="Arial"/>
          <w:iCs/>
          <w:sz w:val="22"/>
          <w:szCs w:val="22"/>
          <w:u w:val="single"/>
        </w:rPr>
        <w:t>and</w:t>
      </w:r>
      <w:r w:rsidRPr="00D349E0">
        <w:rPr>
          <w:rFonts w:ascii="Arial" w:hAnsi="Arial" w:cs="Arial"/>
          <w:iCs/>
          <w:sz w:val="22"/>
          <w:szCs w:val="22"/>
        </w:rPr>
        <w:t xml:space="preserve"> withdrawn,</w:t>
      </w:r>
      <w:r w:rsidRPr="00D349E0">
        <w:rPr>
          <w:rFonts w:ascii="Arial" w:hAnsi="Arial" w:cs="Arial"/>
          <w:iCs/>
          <w:strike/>
          <w:sz w:val="22"/>
          <w:szCs w:val="22"/>
        </w:rPr>
        <w:t xml:space="preserve"> and sold</w:t>
      </w:r>
      <w:r w:rsidRPr="00D349E0">
        <w:rPr>
          <w:rFonts w:ascii="Arial" w:hAnsi="Arial" w:cs="Arial"/>
          <w:iCs/>
          <w:sz w:val="22"/>
          <w:szCs w:val="22"/>
        </w:rPr>
        <w:t xml:space="preserve"> listings </w:t>
      </w:r>
      <w:r w:rsidRPr="00D349E0">
        <w:rPr>
          <w:rFonts w:ascii="Arial" w:hAnsi="Arial" w:cs="Arial"/>
          <w:iCs/>
          <w:strike/>
          <w:sz w:val="22"/>
          <w:szCs w:val="22"/>
        </w:rPr>
        <w:t xml:space="preserve">** </w:t>
      </w:r>
      <w:r w:rsidRPr="00D349E0">
        <w:rPr>
          <w:rFonts w:ascii="Arial" w:hAnsi="Arial" w:cs="Arial"/>
          <w:iCs/>
          <w:sz w:val="22"/>
          <w:szCs w:val="22"/>
        </w:rPr>
        <w:t>is prohibited. (Amended 11/15)</w:t>
      </w:r>
      <w:r w:rsidR="00A15237" w:rsidRPr="00D349E0">
        <w:rPr>
          <w:rFonts w:ascii="Arial" w:hAnsi="Arial" w:cs="Arial"/>
          <w:b/>
          <w:bCs/>
          <w:iCs/>
          <w:color w:val="FF0000"/>
          <w:sz w:val="22"/>
          <w:szCs w:val="22"/>
        </w:rPr>
        <w:t xml:space="preserve"> O</w:t>
      </w:r>
      <w:r w:rsidR="00F238B6" w:rsidRPr="00D349E0">
        <w:rPr>
          <w:rFonts w:ascii="Arial" w:hAnsi="Arial" w:cs="Arial"/>
          <w:b/>
          <w:bCs/>
          <w:iCs/>
          <w:color w:val="FF0000"/>
          <w:sz w:val="22"/>
          <w:szCs w:val="22"/>
        </w:rPr>
        <w:t xml:space="preserve"> </w:t>
      </w:r>
    </w:p>
    <w:p w14:paraId="1D344234" w14:textId="77777777" w:rsidR="00A15237" w:rsidRPr="00D349E0" w:rsidRDefault="00A15237" w:rsidP="00A15237">
      <w:pPr>
        <w:pStyle w:val="Pa21"/>
        <w:rPr>
          <w:rFonts w:ascii="Arial" w:hAnsi="Arial" w:cs="Arial"/>
          <w:b/>
          <w:bCs/>
          <w:iCs/>
          <w:sz w:val="22"/>
          <w:szCs w:val="22"/>
        </w:rPr>
      </w:pPr>
    </w:p>
    <w:p w14:paraId="78DC99B5" w14:textId="77777777" w:rsidR="00D74ACC" w:rsidRPr="00D349E0" w:rsidRDefault="00D74ACC" w:rsidP="00D74ACC">
      <w:pPr>
        <w:ind w:left="360"/>
        <w:rPr>
          <w:rFonts w:ascii="Arial" w:hAnsi="Arial" w:cs="Arial"/>
          <w:sz w:val="22"/>
          <w:szCs w:val="22"/>
        </w:rPr>
      </w:pPr>
      <w:r w:rsidRPr="00D349E0">
        <w:rPr>
          <w:rFonts w:ascii="Arial" w:hAnsi="Arial" w:cs="Arial"/>
          <w:iCs/>
          <w:strike/>
          <w:sz w:val="22"/>
          <w:szCs w:val="22"/>
        </w:rPr>
        <w:t>**Note: If “sold” information is publicly accessible, display of “sold” listings may not be prohibited. (Adopted 11/14)</w:t>
      </w:r>
      <w:r w:rsidRPr="00D349E0">
        <w:rPr>
          <w:rFonts w:ascii="Arial" w:hAnsi="Arial" w:cs="Arial"/>
          <w:iCs/>
          <w:strike/>
          <w:sz w:val="22"/>
          <w:szCs w:val="22"/>
        </w:rPr>
        <w:br/>
      </w:r>
    </w:p>
    <w:p w14:paraId="4201A645" w14:textId="4F7AD68A" w:rsidR="00A15237" w:rsidRPr="00D349E0" w:rsidRDefault="005A30B9" w:rsidP="002238F9">
      <w:pPr>
        <w:pStyle w:val="Pa21"/>
        <w:numPr>
          <w:ilvl w:val="0"/>
          <w:numId w:val="7"/>
        </w:numPr>
        <w:rPr>
          <w:rFonts w:ascii="Arial" w:hAnsi="Arial" w:cs="Arial"/>
          <w:b/>
          <w:bCs/>
          <w:iCs/>
          <w:sz w:val="22"/>
          <w:szCs w:val="22"/>
        </w:rPr>
      </w:pPr>
      <w:r w:rsidRPr="00D349E0">
        <w:rPr>
          <w:rFonts w:ascii="Arial" w:hAnsi="Arial" w:cs="Arial"/>
          <w:b/>
          <w:bCs/>
          <w:iCs/>
          <w:sz w:val="22"/>
          <w:szCs w:val="22"/>
        </w:rPr>
        <w:t>Section 19.12</w:t>
      </w:r>
      <w:r w:rsidRPr="00D349E0">
        <w:rPr>
          <w:rFonts w:ascii="Arial" w:hAnsi="Arial" w:cs="Arial"/>
          <w:iCs/>
          <w:sz w:val="22"/>
          <w:szCs w:val="22"/>
        </w:rPr>
        <w:t xml:space="preserve">. A </w:t>
      </w:r>
      <w:r w:rsidR="00EC0608">
        <w:rPr>
          <w:rFonts w:ascii="Arial" w:hAnsi="Arial" w:cs="Arial"/>
          <w:iCs/>
          <w:sz w:val="22"/>
          <w:szCs w:val="22"/>
        </w:rPr>
        <w:t>p</w:t>
      </w:r>
      <w:r w:rsidRPr="00D349E0">
        <w:rPr>
          <w:rFonts w:ascii="Arial" w:hAnsi="Arial" w:cs="Arial"/>
          <w:iCs/>
          <w:sz w:val="22"/>
          <w:szCs w:val="22"/>
        </w:rPr>
        <w:t>articipant’s VOW may exclude listings from display based only on objective criteria, including, but not limited to, factors such as geography, list price, or type of property.</w:t>
      </w:r>
      <w:r w:rsidRPr="00D349E0">
        <w:rPr>
          <w:rFonts w:ascii="Arial" w:hAnsi="Arial" w:cs="Arial"/>
          <w:iCs/>
          <w:strike/>
          <w:sz w:val="22"/>
          <w:szCs w:val="22"/>
        </w:rPr>
        <w:t xml:space="preserve"> cooperative compensation offered by listing broker and whether the listing broker is a REALTOR®.</w:t>
      </w:r>
      <w:r w:rsidR="00F238B6" w:rsidRPr="00D349E0">
        <w:rPr>
          <w:rFonts w:ascii="Arial" w:hAnsi="Arial" w:cs="Arial"/>
          <w:b/>
          <w:bCs/>
          <w:iCs/>
          <w:color w:val="FF0000"/>
          <w:sz w:val="22"/>
          <w:szCs w:val="22"/>
        </w:rPr>
        <w:t xml:space="preserve"> </w:t>
      </w:r>
      <w:r w:rsidR="00A15237" w:rsidRPr="00D349E0">
        <w:rPr>
          <w:rFonts w:ascii="Arial" w:hAnsi="Arial" w:cs="Arial"/>
          <w:b/>
          <w:bCs/>
          <w:iCs/>
          <w:color w:val="FF0000"/>
          <w:sz w:val="22"/>
          <w:szCs w:val="22"/>
        </w:rPr>
        <w:t>M</w:t>
      </w:r>
      <w:r w:rsidRPr="00D349E0">
        <w:rPr>
          <w:rFonts w:ascii="Arial" w:hAnsi="Arial" w:cs="Arial"/>
          <w:b/>
          <w:bCs/>
          <w:iCs/>
          <w:sz w:val="22"/>
          <w:szCs w:val="22"/>
        </w:rPr>
        <w:br/>
      </w:r>
    </w:p>
    <w:p w14:paraId="54548619" w14:textId="0B1150E7" w:rsidR="00A15237" w:rsidRPr="00D349E0" w:rsidRDefault="001B1DF9" w:rsidP="002238F9">
      <w:pPr>
        <w:pStyle w:val="Pa21"/>
        <w:numPr>
          <w:ilvl w:val="0"/>
          <w:numId w:val="7"/>
        </w:numPr>
        <w:rPr>
          <w:rFonts w:ascii="Arial" w:hAnsi="Arial" w:cs="Arial"/>
          <w:b/>
          <w:bCs/>
          <w:iCs/>
          <w:sz w:val="22"/>
          <w:szCs w:val="22"/>
        </w:rPr>
      </w:pPr>
      <w:r w:rsidRPr="00D349E0">
        <w:rPr>
          <w:rFonts w:ascii="Arial" w:hAnsi="Arial" w:cs="Arial"/>
          <w:b/>
          <w:bCs/>
          <w:iCs/>
          <w:sz w:val="22"/>
          <w:szCs w:val="22"/>
        </w:rPr>
        <w:t>Section 19.15</w:t>
      </w:r>
      <w:r w:rsidRPr="00D349E0">
        <w:rPr>
          <w:rFonts w:ascii="Arial" w:hAnsi="Arial" w:cs="Arial"/>
          <w:b/>
          <w:bCs/>
          <w:iCs/>
          <w:sz w:val="22"/>
          <w:szCs w:val="22"/>
        </w:rPr>
        <w:br/>
      </w:r>
      <w:r w:rsidRPr="00D349E0">
        <w:rPr>
          <w:rFonts w:ascii="Arial" w:hAnsi="Arial" w:cs="Arial"/>
          <w:iCs/>
          <w:sz w:val="22"/>
          <w:szCs w:val="22"/>
        </w:rPr>
        <w:t>A participant’s VOW may not make available for search by or display to Registrants any of the following information</w:t>
      </w:r>
      <w:r w:rsidR="00A960B0" w:rsidRPr="00D349E0">
        <w:rPr>
          <w:rFonts w:ascii="Arial" w:hAnsi="Arial" w:cs="Arial"/>
          <w:iCs/>
          <w:sz w:val="22"/>
          <w:szCs w:val="22"/>
        </w:rPr>
        <w:t xml:space="preserve">: </w:t>
      </w:r>
      <w:r w:rsidR="003F43BC" w:rsidRPr="00D349E0">
        <w:rPr>
          <w:rFonts w:ascii="Arial" w:hAnsi="Arial" w:cs="Arial"/>
          <w:iCs/>
          <w:sz w:val="22"/>
          <w:szCs w:val="22"/>
        </w:rPr>
        <w:t>…</w:t>
      </w:r>
      <w:r w:rsidRPr="00D349E0">
        <w:rPr>
          <w:rFonts w:ascii="Arial" w:hAnsi="Arial" w:cs="Arial"/>
          <w:b/>
          <w:bCs/>
          <w:iCs/>
          <w:sz w:val="22"/>
          <w:szCs w:val="22"/>
        </w:rPr>
        <w:br/>
      </w:r>
      <w:r w:rsidRPr="00D349E0">
        <w:rPr>
          <w:rFonts w:ascii="Arial" w:hAnsi="Arial" w:cs="Arial"/>
          <w:b/>
          <w:bCs/>
          <w:iCs/>
          <w:sz w:val="22"/>
          <w:szCs w:val="22"/>
        </w:rPr>
        <w:br/>
      </w:r>
      <w:r w:rsidR="00EE695E">
        <w:rPr>
          <w:rFonts w:ascii="Arial" w:hAnsi="Arial" w:cs="Arial"/>
          <w:iCs/>
          <w:sz w:val="22"/>
          <w:szCs w:val="22"/>
        </w:rPr>
        <w:t>e</w:t>
      </w:r>
      <w:r w:rsidRPr="00D349E0">
        <w:rPr>
          <w:rFonts w:ascii="Arial" w:hAnsi="Arial" w:cs="Arial"/>
          <w:iCs/>
          <w:sz w:val="22"/>
          <w:szCs w:val="22"/>
        </w:rPr>
        <w:t xml:space="preserve">. </w:t>
      </w:r>
      <w:r w:rsidRPr="00D349E0">
        <w:rPr>
          <w:rFonts w:ascii="Arial" w:hAnsi="Arial" w:cs="Arial"/>
          <w:iCs/>
          <w:sz w:val="22"/>
          <w:szCs w:val="22"/>
          <w:u w:val="single"/>
        </w:rPr>
        <w:t xml:space="preserve">Sales price if sold information is not publicly accessible in the jurisdiction of the MLS </w:t>
      </w:r>
      <w:r w:rsidRPr="00D349E0">
        <w:rPr>
          <w:rFonts w:ascii="Arial" w:hAnsi="Arial" w:cs="Arial"/>
          <w:iCs/>
          <w:strike/>
          <w:sz w:val="22"/>
          <w:szCs w:val="22"/>
        </w:rPr>
        <w:t>Sold information</w:t>
      </w:r>
      <w:r w:rsidR="00A15237" w:rsidRPr="00D349E0">
        <w:rPr>
          <w:rFonts w:ascii="Arial" w:hAnsi="Arial" w:cs="Arial"/>
          <w:b/>
          <w:bCs/>
          <w:iCs/>
          <w:color w:val="FF0000"/>
          <w:sz w:val="22"/>
          <w:szCs w:val="22"/>
        </w:rPr>
        <w:t xml:space="preserve"> O</w:t>
      </w:r>
      <w:r w:rsidRPr="00D349E0">
        <w:rPr>
          <w:rFonts w:ascii="Arial" w:hAnsi="Arial" w:cs="Arial"/>
          <w:b/>
          <w:bCs/>
          <w:iCs/>
          <w:sz w:val="22"/>
          <w:szCs w:val="22"/>
        </w:rPr>
        <w:br/>
      </w:r>
      <w:r w:rsidRPr="00D349E0">
        <w:rPr>
          <w:rFonts w:ascii="Arial" w:hAnsi="Arial" w:cs="Arial"/>
          <w:b/>
          <w:bCs/>
          <w:iCs/>
          <w:sz w:val="22"/>
          <w:szCs w:val="22"/>
        </w:rPr>
        <w:br/>
      </w:r>
      <w:r w:rsidRPr="00D349E0">
        <w:rPr>
          <w:rFonts w:ascii="Arial" w:hAnsi="Arial" w:cs="Arial"/>
          <w:iCs/>
          <w:sz w:val="22"/>
          <w:szCs w:val="22"/>
        </w:rPr>
        <w:t>Note: If sold information is publicly accessible in the jurisdiction of the MLS, Subsection 19.15</w:t>
      </w:r>
      <w:r w:rsidR="00D63D57">
        <w:rPr>
          <w:rFonts w:ascii="Arial" w:hAnsi="Arial" w:cs="Arial"/>
          <w:iCs/>
          <w:sz w:val="22"/>
          <w:szCs w:val="22"/>
        </w:rPr>
        <w:t xml:space="preserve"> </w:t>
      </w:r>
      <w:r w:rsidR="00EE695E">
        <w:rPr>
          <w:rFonts w:ascii="Arial" w:hAnsi="Arial" w:cs="Arial"/>
          <w:iCs/>
          <w:sz w:val="22"/>
          <w:szCs w:val="22"/>
        </w:rPr>
        <w:t>e</w:t>
      </w:r>
      <w:r w:rsidRPr="00D349E0">
        <w:rPr>
          <w:rFonts w:ascii="Arial" w:hAnsi="Arial" w:cs="Arial"/>
          <w:iCs/>
          <w:sz w:val="22"/>
          <w:szCs w:val="22"/>
        </w:rPr>
        <w:t xml:space="preserve"> must be omitted. (Revised 11/15) </w:t>
      </w:r>
      <w:r w:rsidR="00A15237" w:rsidRPr="00D349E0">
        <w:rPr>
          <w:rFonts w:ascii="Arial" w:hAnsi="Arial" w:cs="Arial"/>
          <w:b/>
          <w:bCs/>
          <w:iCs/>
          <w:color w:val="FF0000"/>
          <w:sz w:val="22"/>
          <w:szCs w:val="22"/>
        </w:rPr>
        <w:t>M</w:t>
      </w:r>
      <w:r w:rsidR="005F621C" w:rsidRPr="00D349E0">
        <w:rPr>
          <w:rFonts w:ascii="Arial" w:hAnsi="Arial" w:cs="Arial"/>
          <w:b/>
          <w:bCs/>
          <w:iCs/>
          <w:sz w:val="22"/>
          <w:szCs w:val="22"/>
        </w:rPr>
        <w:br/>
      </w:r>
    </w:p>
    <w:p w14:paraId="0ED2B055" w14:textId="77777777" w:rsidR="0031518F" w:rsidRDefault="000B5844" w:rsidP="00D258D6">
      <w:pPr>
        <w:pStyle w:val="Pa21"/>
        <w:numPr>
          <w:ilvl w:val="0"/>
          <w:numId w:val="7"/>
        </w:numPr>
        <w:rPr>
          <w:rFonts w:ascii="Arial" w:hAnsi="Arial" w:cs="Arial"/>
          <w:b/>
          <w:bCs/>
          <w:iCs/>
          <w:sz w:val="22"/>
          <w:szCs w:val="22"/>
        </w:rPr>
      </w:pPr>
      <w:r w:rsidRPr="00D258D6">
        <w:rPr>
          <w:rFonts w:ascii="Arial" w:hAnsi="Arial" w:cs="Arial"/>
          <w:b/>
          <w:bCs/>
          <w:iCs/>
          <w:sz w:val="22"/>
          <w:szCs w:val="22"/>
        </w:rPr>
        <w:t>Section 19.18</w:t>
      </w:r>
    </w:p>
    <w:p w14:paraId="3C0EFDB3" w14:textId="77777777" w:rsidR="0031518F" w:rsidRPr="0031518F" w:rsidRDefault="0031518F" w:rsidP="0031518F"/>
    <w:p w14:paraId="10B5D0C2" w14:textId="77777777" w:rsidR="0031518F" w:rsidRDefault="0031518F" w:rsidP="0031518F">
      <w:pPr>
        <w:pStyle w:val="Pa21"/>
        <w:ind w:left="360"/>
        <w:rPr>
          <w:rFonts w:ascii="Arial" w:hAnsi="Arial" w:cs="Arial"/>
          <w:iCs/>
          <w:color w:val="FF0000"/>
          <w:sz w:val="22"/>
          <w:szCs w:val="22"/>
        </w:rPr>
      </w:pPr>
      <w:r w:rsidRPr="0031518F">
        <w:rPr>
          <w:rFonts w:ascii="Arial" w:hAnsi="Arial" w:cs="Arial"/>
          <w:iCs/>
          <w:color w:val="FF0000"/>
          <w:sz w:val="22"/>
          <w:szCs w:val="22"/>
        </w:rPr>
        <w:t xml:space="preserve">(While the typical implementation deadline is March 1, 2022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78213902" w14:textId="62EBF228" w:rsidR="0031518F" w:rsidRPr="0031518F" w:rsidRDefault="0031518F" w:rsidP="0031518F">
      <w:pPr>
        <w:pStyle w:val="Pa21"/>
        <w:ind w:left="360"/>
        <w:rPr>
          <w:rFonts w:ascii="Arial" w:hAnsi="Arial" w:cs="Arial"/>
          <w:b/>
          <w:bCs/>
          <w:iCs/>
          <w:sz w:val="22"/>
          <w:szCs w:val="22"/>
        </w:rPr>
      </w:pPr>
      <w:r>
        <w:rPr>
          <w:rFonts w:ascii="Arial" w:hAnsi="Arial" w:cs="Arial"/>
          <w:b/>
          <w:bCs/>
          <w:iCs/>
          <w:sz w:val="22"/>
          <w:szCs w:val="22"/>
        </w:rPr>
        <w:tab/>
      </w:r>
    </w:p>
    <w:p w14:paraId="7F5D2E88" w14:textId="6E6F6CD3" w:rsidR="000B5844" w:rsidRDefault="000B5844" w:rsidP="00D258D6">
      <w:pPr>
        <w:pStyle w:val="Pa21"/>
        <w:ind w:left="360"/>
        <w:rPr>
          <w:rFonts w:ascii="Arial" w:hAnsi="Arial" w:cs="Arial"/>
          <w:sz w:val="22"/>
          <w:szCs w:val="22"/>
        </w:rPr>
      </w:pPr>
      <w:r w:rsidRPr="00D258D6">
        <w:rPr>
          <w:rFonts w:ascii="Arial" w:hAnsi="Arial" w:cs="Arial"/>
          <w:iCs/>
          <w:sz w:val="22"/>
          <w:szCs w:val="22"/>
        </w:rPr>
        <w:t xml:space="preserve">A participant shall cause any listing that is displayed on his or her VOW to identify the name of the listing </w:t>
      </w:r>
      <w:r w:rsidR="00D33F6F" w:rsidRPr="00D258D6">
        <w:rPr>
          <w:rFonts w:ascii="Arial" w:hAnsi="Arial" w:cs="Arial"/>
          <w:iCs/>
          <w:sz w:val="22"/>
          <w:szCs w:val="22"/>
        </w:rPr>
        <w:t xml:space="preserve">firm, </w:t>
      </w:r>
      <w:r w:rsidR="00D33F6F" w:rsidRPr="00D258D6">
        <w:rPr>
          <w:rFonts w:ascii="Arial" w:hAnsi="Arial" w:cs="Arial"/>
          <w:iCs/>
          <w:strike/>
          <w:sz w:val="22"/>
          <w:szCs w:val="22"/>
        </w:rPr>
        <w:t>and</w:t>
      </w:r>
      <w:r w:rsidRPr="00D258D6">
        <w:rPr>
          <w:rFonts w:ascii="Arial" w:hAnsi="Arial" w:cs="Arial"/>
          <w:iCs/>
          <w:strike/>
          <w:sz w:val="22"/>
          <w:szCs w:val="22"/>
        </w:rPr>
        <w:t xml:space="preserve"> </w:t>
      </w:r>
      <w:r w:rsidRPr="00D258D6">
        <w:rPr>
          <w:rFonts w:ascii="Arial" w:hAnsi="Arial" w:cs="Arial"/>
          <w:iCs/>
          <w:sz w:val="22"/>
          <w:szCs w:val="22"/>
        </w:rPr>
        <w:t>the listing broker or agent</w:t>
      </w:r>
      <w:r w:rsidRPr="00D258D6">
        <w:rPr>
          <w:rFonts w:ascii="Arial" w:hAnsi="Arial" w:cs="Arial"/>
          <w:iCs/>
          <w:sz w:val="22"/>
          <w:szCs w:val="22"/>
          <w:u w:val="single"/>
        </w:rPr>
        <w:t xml:space="preserve">, and the email or phone number provided by the listing </w:t>
      </w:r>
      <w:r w:rsidR="00176397" w:rsidRPr="00D258D6">
        <w:rPr>
          <w:rFonts w:ascii="Arial" w:hAnsi="Arial" w:cs="Arial"/>
          <w:iCs/>
          <w:sz w:val="22"/>
          <w:szCs w:val="22"/>
          <w:u w:val="single"/>
        </w:rPr>
        <w:t>p</w:t>
      </w:r>
      <w:r w:rsidR="00A85D93" w:rsidRPr="00D258D6">
        <w:rPr>
          <w:rFonts w:ascii="Arial" w:hAnsi="Arial" w:cs="Arial"/>
          <w:iCs/>
          <w:sz w:val="22"/>
          <w:szCs w:val="22"/>
          <w:u w:val="single"/>
        </w:rPr>
        <w:t xml:space="preserve">articipant </w:t>
      </w:r>
      <w:r w:rsidRPr="00D258D6">
        <w:rPr>
          <w:rFonts w:ascii="Arial" w:hAnsi="Arial" w:cs="Arial"/>
          <w:iCs/>
          <w:sz w:val="22"/>
          <w:szCs w:val="22"/>
        </w:rPr>
        <w:t xml:space="preserve">in a readily visible color, in a reasonably prominent location, and in typeface not smaller than the median typeface used in the display of the listing data. </w:t>
      </w:r>
      <w:r w:rsidRPr="00D258D6">
        <w:rPr>
          <w:rFonts w:ascii="Arial" w:hAnsi="Arial" w:cs="Arial"/>
          <w:b/>
          <w:color w:val="FF0000"/>
          <w:sz w:val="22"/>
          <w:szCs w:val="22"/>
        </w:rPr>
        <w:t>O</w:t>
      </w:r>
      <w:r w:rsidR="00C84947" w:rsidRPr="00D258D6">
        <w:rPr>
          <w:rFonts w:ascii="Arial" w:hAnsi="Arial" w:cs="Arial"/>
          <w:b/>
          <w:color w:val="FF0000"/>
          <w:sz w:val="22"/>
          <w:szCs w:val="22"/>
        </w:rPr>
        <w:br/>
      </w:r>
    </w:p>
    <w:p w14:paraId="43AED2D6" w14:textId="77777777" w:rsidR="0031518F" w:rsidRPr="0031518F" w:rsidRDefault="0031518F" w:rsidP="0031518F"/>
    <w:p w14:paraId="34CF0999" w14:textId="77777777" w:rsidR="000E7159" w:rsidRPr="00D349E0" w:rsidRDefault="00F56E8D" w:rsidP="00CC19E5">
      <w:pPr>
        <w:pStyle w:val="Pa21"/>
        <w:spacing w:after="480"/>
        <w:rPr>
          <w:rFonts w:ascii="Arial" w:hAnsi="Arial" w:cs="Arial"/>
          <w:b/>
          <w:bCs/>
          <w:sz w:val="22"/>
          <w:szCs w:val="22"/>
        </w:rPr>
      </w:pPr>
      <w:r w:rsidRPr="00D349E0">
        <w:rPr>
          <w:rFonts w:ascii="Arial" w:hAnsi="Arial" w:cs="Arial"/>
          <w:b/>
          <w:bCs/>
          <w:sz w:val="22"/>
          <w:szCs w:val="22"/>
        </w:rPr>
        <w:t>Changes to Multiple Listing Policy Statements</w:t>
      </w:r>
    </w:p>
    <w:p w14:paraId="05B00588" w14:textId="77777777" w:rsidR="00D174F8" w:rsidRPr="00D349E0" w:rsidRDefault="00D174F8" w:rsidP="002238F9">
      <w:pPr>
        <w:keepLines/>
        <w:numPr>
          <w:ilvl w:val="0"/>
          <w:numId w:val="1"/>
        </w:numPr>
        <w:rPr>
          <w:rFonts w:ascii="Arial" w:hAnsi="Arial" w:cs="Arial"/>
          <w:sz w:val="22"/>
          <w:szCs w:val="22"/>
        </w:rPr>
      </w:pPr>
      <w:r w:rsidRPr="00D349E0">
        <w:rPr>
          <w:rFonts w:ascii="Arial" w:hAnsi="Arial" w:cs="Arial"/>
          <w:b/>
          <w:sz w:val="22"/>
          <w:szCs w:val="22"/>
        </w:rPr>
        <w:lastRenderedPageBreak/>
        <w:t>MLS Policy Statement 7.3</w:t>
      </w:r>
      <w:r w:rsidR="00A103A6" w:rsidRPr="00D349E0">
        <w:rPr>
          <w:rFonts w:ascii="Arial" w:hAnsi="Arial" w:cs="Arial"/>
          <w:b/>
          <w:sz w:val="22"/>
          <w:szCs w:val="22"/>
        </w:rPr>
        <w:t xml:space="preserve">, </w:t>
      </w:r>
      <w:r w:rsidRPr="00D349E0">
        <w:rPr>
          <w:rFonts w:ascii="Arial" w:hAnsi="Arial" w:cs="Arial"/>
          <w:b/>
          <w:bCs/>
          <w:sz w:val="22"/>
          <w:szCs w:val="22"/>
        </w:rPr>
        <w:t>Statistical Reports</w:t>
      </w:r>
      <w:r w:rsidRPr="00D349E0">
        <w:rPr>
          <w:rFonts w:ascii="Arial" w:hAnsi="Arial" w:cs="Arial"/>
          <w:sz w:val="22"/>
          <w:szCs w:val="22"/>
        </w:rPr>
        <w:t xml:space="preserve"> </w:t>
      </w:r>
    </w:p>
    <w:p w14:paraId="4CD0E8CE" w14:textId="77777777" w:rsidR="00D174F8" w:rsidRPr="00D349E0" w:rsidRDefault="00D174F8" w:rsidP="00D174F8">
      <w:pPr>
        <w:ind w:left="360"/>
        <w:rPr>
          <w:rFonts w:ascii="Arial" w:hAnsi="Arial" w:cs="Arial"/>
          <w:sz w:val="22"/>
          <w:szCs w:val="22"/>
        </w:rPr>
      </w:pPr>
      <w:r w:rsidRPr="00D349E0">
        <w:rPr>
          <w:rFonts w:ascii="Arial" w:hAnsi="Arial" w:cs="Arial"/>
          <w:sz w:val="22"/>
          <w:szCs w:val="22"/>
        </w:rPr>
        <w:t>MLSs may, as a matter of local determination, make statistical reports, sold information, and other informational reports derived from the MLS available to REALTORS® who do not participate in the MLS but who are engaged in real estate brokerage, management, appraising, land development, or building. Additional expenses incurred in providing such information to REALTORS® who do not participate in the MLS may be included in the price charged for such information. Any information provided may not be transmitted, retransmitted, or provided in any manner to any individual, office, or firm, except as otherwise authorized in the MLS rules and regulations.</w:t>
      </w:r>
    </w:p>
    <w:p w14:paraId="057FFBBC" w14:textId="77777777" w:rsidR="00D174F8" w:rsidRPr="00D349E0" w:rsidRDefault="00D174F8" w:rsidP="00D174F8">
      <w:pPr>
        <w:ind w:left="360"/>
        <w:rPr>
          <w:rFonts w:ascii="Arial" w:hAnsi="Arial" w:cs="Arial"/>
          <w:sz w:val="22"/>
          <w:szCs w:val="22"/>
        </w:rPr>
      </w:pPr>
    </w:p>
    <w:p w14:paraId="19E9070F" w14:textId="77777777" w:rsidR="00D174F8" w:rsidRPr="00D349E0" w:rsidRDefault="00D174F8" w:rsidP="00D174F8">
      <w:pPr>
        <w:ind w:left="360"/>
        <w:rPr>
          <w:rFonts w:ascii="Arial" w:hAnsi="Arial" w:cs="Arial"/>
          <w:sz w:val="22"/>
          <w:szCs w:val="22"/>
        </w:rPr>
      </w:pPr>
      <w:r w:rsidRPr="00D349E0">
        <w:rPr>
          <w:rFonts w:ascii="Arial" w:hAnsi="Arial" w:cs="Arial"/>
          <w:sz w:val="22"/>
          <w:szCs w:val="22"/>
        </w:rPr>
        <w:t>MLSs may, as a matter of local determination, provide statistical reports, sold information, and other informational reports derived from the MLS to government agencies. MLSs may, as a matter of local discretion, require that such agencies (or representatives of such agencies) hold an appropriate form of membership in the MLS or in the association of REALTORS® as a condition of such access.</w:t>
      </w:r>
    </w:p>
    <w:p w14:paraId="1BC080ED" w14:textId="77777777" w:rsidR="003F43BC" w:rsidRPr="00D349E0" w:rsidRDefault="003F43BC" w:rsidP="00D174F8">
      <w:pPr>
        <w:ind w:left="360"/>
        <w:rPr>
          <w:rFonts w:ascii="Arial" w:hAnsi="Arial" w:cs="Arial"/>
          <w:sz w:val="22"/>
          <w:szCs w:val="22"/>
        </w:rPr>
      </w:pPr>
    </w:p>
    <w:p w14:paraId="431EB999" w14:textId="77777777" w:rsidR="00D174F8" w:rsidRPr="00D349E0" w:rsidRDefault="00D174F8" w:rsidP="003F43BC">
      <w:pPr>
        <w:ind w:left="360"/>
        <w:rPr>
          <w:rFonts w:ascii="Arial" w:hAnsi="Arial" w:cs="Arial"/>
          <w:sz w:val="22"/>
          <w:szCs w:val="22"/>
        </w:rPr>
      </w:pPr>
      <w:r w:rsidRPr="00D349E0">
        <w:rPr>
          <w:rFonts w:ascii="Arial" w:hAnsi="Arial" w:cs="Arial"/>
          <w:strike/>
          <w:sz w:val="22"/>
          <w:szCs w:val="22"/>
        </w:rPr>
        <w:t xml:space="preserve">It is strongly recommended that any irrelevant information such as the names of current or former owners, or information concerning the sales </w:t>
      </w:r>
      <w:proofErr w:type="gramStart"/>
      <w:r w:rsidRPr="00D349E0">
        <w:rPr>
          <w:rFonts w:ascii="Arial" w:hAnsi="Arial" w:cs="Arial"/>
          <w:strike/>
          <w:sz w:val="22"/>
          <w:szCs w:val="22"/>
        </w:rPr>
        <w:t>commission</w:t>
      </w:r>
      <w:proofErr w:type="gramEnd"/>
      <w:r w:rsidRPr="00D349E0">
        <w:rPr>
          <w:rFonts w:ascii="Arial" w:hAnsi="Arial" w:cs="Arial"/>
          <w:strike/>
          <w:sz w:val="22"/>
          <w:szCs w:val="22"/>
        </w:rPr>
        <w:t xml:space="preserve"> or the compensation offered or paid to cooperating brokers be deleted. </w:t>
      </w:r>
      <w:r w:rsidRPr="00D349E0">
        <w:rPr>
          <w:rFonts w:ascii="Arial" w:hAnsi="Arial" w:cs="Arial"/>
          <w:i/>
          <w:strike/>
          <w:sz w:val="22"/>
          <w:szCs w:val="22"/>
        </w:rPr>
        <w:t>(Revised 11/04)</w:t>
      </w:r>
      <w:r w:rsidRPr="00D349E0">
        <w:rPr>
          <w:rFonts w:ascii="Arial" w:hAnsi="Arial" w:cs="Arial"/>
          <w:strike/>
          <w:sz w:val="22"/>
          <w:szCs w:val="22"/>
        </w:rPr>
        <w:t xml:space="preserve"> </w:t>
      </w:r>
      <w:r w:rsidRPr="00D349E0">
        <w:rPr>
          <w:rFonts w:ascii="Arial" w:hAnsi="Arial" w:cs="Arial"/>
          <w:b/>
          <w:color w:val="FF0000"/>
          <w:sz w:val="22"/>
          <w:szCs w:val="22"/>
        </w:rPr>
        <w:t>M</w:t>
      </w:r>
    </w:p>
    <w:p w14:paraId="0CC2F096" w14:textId="77777777" w:rsidR="00D174F8" w:rsidRPr="00D349E0" w:rsidRDefault="00D174F8" w:rsidP="00983106">
      <w:pPr>
        <w:keepLines/>
        <w:ind w:left="360"/>
        <w:rPr>
          <w:rFonts w:ascii="Arial" w:hAnsi="Arial" w:cs="Arial"/>
          <w:bCs/>
          <w:sz w:val="22"/>
          <w:szCs w:val="22"/>
        </w:rPr>
      </w:pPr>
    </w:p>
    <w:p w14:paraId="2D946157" w14:textId="77777777" w:rsidR="00212953" w:rsidRPr="00D349E0" w:rsidRDefault="00212953" w:rsidP="00983106">
      <w:pPr>
        <w:keepLines/>
        <w:ind w:left="360"/>
        <w:rPr>
          <w:rFonts w:ascii="Arial" w:hAnsi="Arial" w:cs="Arial"/>
          <w:bCs/>
          <w:sz w:val="22"/>
          <w:szCs w:val="22"/>
        </w:rPr>
      </w:pPr>
    </w:p>
    <w:p w14:paraId="30671EF2" w14:textId="08CA2CEA" w:rsidR="00212953" w:rsidRPr="009153E5" w:rsidRDefault="00212953" w:rsidP="002238F9">
      <w:pPr>
        <w:pStyle w:val="Pa21"/>
        <w:numPr>
          <w:ilvl w:val="0"/>
          <w:numId w:val="8"/>
        </w:numPr>
        <w:rPr>
          <w:rFonts w:ascii="Arial" w:hAnsi="Arial" w:cs="Arial"/>
          <w:b/>
          <w:bCs/>
          <w:iCs/>
          <w:color w:val="FF0000"/>
          <w:sz w:val="22"/>
          <w:szCs w:val="22"/>
        </w:rPr>
      </w:pPr>
      <w:bookmarkStart w:id="1" w:name="_Hlk89876744"/>
      <w:r w:rsidRPr="00D349E0">
        <w:rPr>
          <w:rStyle w:val="A1"/>
          <w:rFonts w:ascii="Arial" w:hAnsi="Arial" w:cs="Arial"/>
          <w:b/>
          <w:bCs/>
          <w:sz w:val="22"/>
          <w:szCs w:val="22"/>
        </w:rPr>
        <w:t>MLS Policy Statement 7.85, Internet Data Exchange (IDX) Policy</w:t>
      </w:r>
      <w:r w:rsidRPr="00D349E0">
        <w:rPr>
          <w:rStyle w:val="A1"/>
          <w:rFonts w:ascii="Arial" w:hAnsi="Arial" w:cs="Arial"/>
          <w:sz w:val="22"/>
          <w:szCs w:val="22"/>
          <w:u w:val="single"/>
        </w:rPr>
        <w:br/>
      </w:r>
      <w:r w:rsidRPr="00D349E0">
        <w:rPr>
          <w:rStyle w:val="A1"/>
          <w:rFonts w:ascii="Arial" w:hAnsi="Arial" w:cs="Arial"/>
          <w:sz w:val="22"/>
          <w:szCs w:val="22"/>
          <w:u w:val="single"/>
        </w:rPr>
        <w:br/>
      </w:r>
      <w:r w:rsidR="00441282" w:rsidRPr="009153E5">
        <w:rPr>
          <w:rFonts w:ascii="Arial" w:hAnsi="Arial" w:cs="Arial"/>
          <w:iCs/>
          <w:color w:val="000000"/>
          <w:sz w:val="22"/>
          <w:szCs w:val="22"/>
        </w:rPr>
        <w:t xml:space="preserve">… </w:t>
      </w:r>
      <w:r w:rsidRPr="009153E5">
        <w:rPr>
          <w:rFonts w:ascii="Arial" w:hAnsi="Arial" w:cs="Arial"/>
          <w:iCs/>
          <w:color w:val="000000"/>
          <w:sz w:val="22"/>
          <w:szCs w:val="22"/>
        </w:rPr>
        <w:t>To comply with this requirement MLSs must, if requested by a participant, promptly provide basic downloading of all active listings, sold* listing data starting from January 1, 2012, non-confidential pending sale listing data, and other listings authorized under applicable MLS rules. MLSs may not exclude any listings from the information which can be downloaded or displayed under IDX except those listings for which a seller has affirmatively directed that their listing or their property address not appear on the Internet or other electronic forms of display or distribution.</w:t>
      </w:r>
      <w:r w:rsidRPr="009153E5">
        <w:rPr>
          <w:rFonts w:ascii="Arial" w:hAnsi="Arial" w:cs="Arial"/>
          <w:iCs/>
          <w:sz w:val="22"/>
          <w:szCs w:val="22"/>
        </w:rPr>
        <w:t xml:space="preserve"> </w:t>
      </w:r>
      <w:r w:rsidRPr="009153E5">
        <w:rPr>
          <w:rFonts w:ascii="Arial" w:hAnsi="Arial" w:cs="Arial"/>
          <w:iCs/>
          <w:sz w:val="22"/>
          <w:szCs w:val="22"/>
        </w:rPr>
        <w:br/>
      </w:r>
      <w:r w:rsidRPr="009153E5">
        <w:rPr>
          <w:rFonts w:ascii="Arial" w:hAnsi="Arial" w:cs="Arial"/>
          <w:iCs/>
          <w:sz w:val="22"/>
          <w:szCs w:val="22"/>
        </w:rPr>
        <w:br/>
      </w:r>
      <w:r w:rsidRPr="009153E5">
        <w:rPr>
          <w:rFonts w:ascii="Arial" w:hAnsi="Arial" w:cs="Arial"/>
          <w:iCs/>
          <w:color w:val="000000"/>
          <w:sz w:val="22"/>
          <w:szCs w:val="22"/>
        </w:rPr>
        <w:t xml:space="preserve">*Note: If “sold” information is not publicly accessible, </w:t>
      </w:r>
      <w:r w:rsidRPr="009153E5">
        <w:rPr>
          <w:rFonts w:ascii="Arial" w:hAnsi="Arial" w:cs="Arial"/>
          <w:iCs/>
          <w:strike/>
          <w:color w:val="000000"/>
          <w:sz w:val="22"/>
          <w:szCs w:val="22"/>
        </w:rPr>
        <w:t>sold listings can be removed from the MLSs’ IDX feeds/downloads</w:t>
      </w:r>
      <w:r w:rsidRPr="009153E5">
        <w:rPr>
          <w:rFonts w:ascii="Arial" w:hAnsi="Arial" w:cs="Arial"/>
          <w:iCs/>
          <w:color w:val="000000"/>
          <w:sz w:val="22"/>
          <w:szCs w:val="22"/>
        </w:rPr>
        <w:t xml:space="preserve"> </w:t>
      </w:r>
      <w:r w:rsidRPr="009153E5">
        <w:rPr>
          <w:rFonts w:ascii="Arial" w:hAnsi="Arial" w:cs="Arial"/>
          <w:iCs/>
          <w:color w:val="000000"/>
          <w:sz w:val="22"/>
          <w:szCs w:val="22"/>
          <w:u w:val="single"/>
        </w:rPr>
        <w:t>display of sales price may be prohibited.</w:t>
      </w:r>
      <w:r w:rsidRPr="009153E5">
        <w:rPr>
          <w:rFonts w:ascii="Arial" w:hAnsi="Arial" w:cs="Arial"/>
          <w:iCs/>
          <w:color w:val="000000"/>
          <w:sz w:val="22"/>
          <w:szCs w:val="22"/>
        </w:rPr>
        <w:t xml:space="preserve"> “Publicly accessible” sold information as used in IDX policy and rules, means data that is available electronically or in hard copy to the public from city, county, state and other government records. MLSs must provide for its </w:t>
      </w:r>
      <w:r w:rsidR="00EC0608">
        <w:rPr>
          <w:rFonts w:ascii="Arial" w:hAnsi="Arial" w:cs="Arial"/>
          <w:iCs/>
          <w:color w:val="000000"/>
          <w:sz w:val="22"/>
          <w:szCs w:val="22"/>
        </w:rPr>
        <w:t>p</w:t>
      </w:r>
      <w:r w:rsidRPr="009153E5">
        <w:rPr>
          <w:rFonts w:ascii="Arial" w:hAnsi="Arial" w:cs="Arial"/>
          <w:iCs/>
          <w:color w:val="000000"/>
          <w:sz w:val="22"/>
          <w:szCs w:val="22"/>
        </w:rPr>
        <w:t xml:space="preserve">articipants’ IDX displays publicly accessible sold information maintained by the MLS starting January 1, 2012. (Amended 5/17) </w:t>
      </w:r>
      <w:r w:rsidRPr="009153E5">
        <w:rPr>
          <w:rFonts w:ascii="Arial" w:hAnsi="Arial" w:cs="Arial"/>
          <w:b/>
          <w:bCs/>
          <w:iCs/>
          <w:color w:val="FF0000"/>
          <w:sz w:val="22"/>
          <w:szCs w:val="22"/>
        </w:rPr>
        <w:t>M</w:t>
      </w:r>
      <w:r w:rsidR="009153E5">
        <w:rPr>
          <w:rFonts w:ascii="Arial" w:hAnsi="Arial" w:cs="Arial"/>
          <w:b/>
          <w:bCs/>
          <w:iCs/>
          <w:color w:val="FF0000"/>
          <w:sz w:val="22"/>
          <w:szCs w:val="22"/>
        </w:rPr>
        <w:t xml:space="preserve"> </w:t>
      </w:r>
      <w:r w:rsidR="00441282" w:rsidRPr="009153E5">
        <w:rPr>
          <w:rFonts w:ascii="Arial" w:hAnsi="Arial" w:cs="Arial"/>
          <w:b/>
          <w:bCs/>
          <w:iCs/>
          <w:sz w:val="22"/>
          <w:szCs w:val="22"/>
        </w:rPr>
        <w:t>…</w:t>
      </w:r>
    </w:p>
    <w:p w14:paraId="7F1B09AB" w14:textId="77777777" w:rsidR="00441282" w:rsidRPr="009153E5" w:rsidRDefault="00441282" w:rsidP="00441282">
      <w:pPr>
        <w:ind w:left="360"/>
        <w:rPr>
          <w:rFonts w:ascii="Arial" w:hAnsi="Arial" w:cs="Arial"/>
          <w:b/>
          <w:bCs/>
          <w:iCs/>
          <w:color w:val="FF0000"/>
          <w:sz w:val="22"/>
          <w:szCs w:val="22"/>
        </w:rPr>
      </w:pPr>
    </w:p>
    <w:p w14:paraId="4B4EEA91" w14:textId="77777777" w:rsidR="00441282" w:rsidRPr="00D349E0" w:rsidRDefault="009153E5" w:rsidP="00441282">
      <w:pPr>
        <w:ind w:left="360"/>
        <w:rPr>
          <w:rFonts w:ascii="Arial" w:hAnsi="Arial" w:cs="Arial"/>
          <w:b/>
          <w:bCs/>
          <w:color w:val="FF0000"/>
          <w:sz w:val="22"/>
          <w:szCs w:val="22"/>
        </w:rPr>
      </w:pPr>
      <w:r>
        <w:rPr>
          <w:rFonts w:ascii="Arial" w:hAnsi="Arial" w:cs="Arial"/>
          <w:b/>
          <w:bCs/>
          <w:color w:val="FF0000"/>
          <w:sz w:val="22"/>
          <w:szCs w:val="22"/>
        </w:rPr>
        <w:t>P</w:t>
      </w:r>
      <w:r w:rsidR="00441282" w:rsidRPr="00D349E0">
        <w:rPr>
          <w:rFonts w:ascii="Arial" w:hAnsi="Arial" w:cs="Arial"/>
          <w:b/>
          <w:bCs/>
          <w:color w:val="FF0000"/>
          <w:sz w:val="22"/>
          <w:szCs w:val="22"/>
        </w:rPr>
        <w:t>olices Applicable to Participants’ IDX Websites and Displays…</w:t>
      </w:r>
    </w:p>
    <w:p w14:paraId="2D89A9D9" w14:textId="77777777" w:rsidR="00441282" w:rsidRPr="00D349E0" w:rsidRDefault="00441282" w:rsidP="00441282">
      <w:pPr>
        <w:ind w:left="360"/>
        <w:rPr>
          <w:rFonts w:ascii="Arial" w:hAnsi="Arial" w:cs="Arial"/>
          <w:sz w:val="22"/>
          <w:szCs w:val="22"/>
        </w:rPr>
      </w:pPr>
    </w:p>
    <w:p w14:paraId="1545B643" w14:textId="166825CA" w:rsidR="00212953" w:rsidRPr="00D349E0" w:rsidRDefault="00212953" w:rsidP="00441282">
      <w:pPr>
        <w:ind w:left="360"/>
        <w:rPr>
          <w:rFonts w:ascii="Arial" w:hAnsi="Arial" w:cs="Arial"/>
          <w:i/>
          <w:sz w:val="22"/>
          <w:szCs w:val="22"/>
        </w:rPr>
      </w:pPr>
      <w:r w:rsidRPr="00D349E0">
        <w:rPr>
          <w:rFonts w:ascii="Arial" w:hAnsi="Arial" w:cs="Arial"/>
          <w:i/>
          <w:sz w:val="22"/>
          <w:szCs w:val="22"/>
        </w:rPr>
        <w:t xml:space="preserve">4. Participants may select the IDX listings they choose to display based only on objective criteria including, but not limited to, factors such as geography or location (“uptown”, “downtown”, etc.), list price, </w:t>
      </w:r>
      <w:r w:rsidR="001E78CB">
        <w:rPr>
          <w:rFonts w:ascii="Arial" w:hAnsi="Arial" w:cs="Arial"/>
          <w:i/>
          <w:sz w:val="22"/>
          <w:szCs w:val="22"/>
          <w:u w:val="single"/>
        </w:rPr>
        <w:t xml:space="preserve">or </w:t>
      </w:r>
      <w:r w:rsidRPr="00D349E0">
        <w:rPr>
          <w:rFonts w:ascii="Arial" w:hAnsi="Arial" w:cs="Arial"/>
          <w:i/>
          <w:sz w:val="22"/>
          <w:szCs w:val="22"/>
        </w:rPr>
        <w:t>type of property (e.g., condominiums, cooperatives, single family detached, multi-family),</w:t>
      </w:r>
      <w:r w:rsidRPr="00D349E0">
        <w:rPr>
          <w:rFonts w:ascii="Arial" w:hAnsi="Arial" w:cs="Arial"/>
          <w:i/>
          <w:strike/>
          <w:sz w:val="22"/>
          <w:szCs w:val="22"/>
        </w:rPr>
        <w:t xml:space="preserve"> cooperative compensation offered by listing brokers,</w:t>
      </w:r>
      <w:r w:rsidRPr="00D349E0">
        <w:rPr>
          <w:rFonts w:ascii="Arial" w:hAnsi="Arial" w:cs="Arial"/>
          <w:i/>
          <w:sz w:val="22"/>
          <w:szCs w:val="22"/>
        </w:rPr>
        <w:t xml:space="preserve"> </w:t>
      </w:r>
      <w:r w:rsidRPr="00D349E0">
        <w:rPr>
          <w:rFonts w:ascii="Arial" w:hAnsi="Arial" w:cs="Arial"/>
          <w:i/>
          <w:sz w:val="22"/>
          <w:szCs w:val="22"/>
          <w:u w:val="single"/>
        </w:rPr>
        <w:t xml:space="preserve">or </w:t>
      </w:r>
      <w:r w:rsidRPr="00D349E0">
        <w:rPr>
          <w:rFonts w:ascii="Arial" w:hAnsi="Arial" w:cs="Arial"/>
          <w:i/>
          <w:sz w:val="22"/>
          <w:szCs w:val="22"/>
        </w:rPr>
        <w:t>type of listing (e.g., exclusive right-to-sell or exclusive agency)</w:t>
      </w:r>
      <w:r w:rsidRPr="00D349E0">
        <w:rPr>
          <w:rFonts w:ascii="Arial" w:hAnsi="Arial" w:cs="Arial"/>
          <w:i/>
          <w:strike/>
          <w:sz w:val="22"/>
          <w:szCs w:val="22"/>
        </w:rPr>
        <w:t>, or the level of service provided by the listing firm</w:t>
      </w:r>
      <w:r w:rsidRPr="00D349E0">
        <w:rPr>
          <w:rFonts w:ascii="Arial" w:hAnsi="Arial" w:cs="Arial"/>
          <w:i/>
          <w:sz w:val="22"/>
          <w:szCs w:val="22"/>
        </w:rPr>
        <w:t>. Selection of IDX listings to be displayed must be independently made by each participant.</w:t>
      </w:r>
      <w:r w:rsidRPr="00D349E0">
        <w:rPr>
          <w:rFonts w:ascii="Arial" w:hAnsi="Arial" w:cs="Arial"/>
          <w:i/>
          <w:iCs/>
          <w:sz w:val="22"/>
          <w:szCs w:val="22"/>
        </w:rPr>
        <w:t xml:space="preserve"> </w:t>
      </w:r>
      <w:r w:rsidRPr="00D349E0">
        <w:rPr>
          <w:rFonts w:ascii="Arial" w:hAnsi="Arial" w:cs="Arial"/>
          <w:b/>
          <w:color w:val="FF0000"/>
          <w:sz w:val="22"/>
          <w:szCs w:val="22"/>
        </w:rPr>
        <w:t>M</w:t>
      </w:r>
      <w:r w:rsidR="00441282" w:rsidRPr="00D349E0">
        <w:rPr>
          <w:rFonts w:ascii="Arial" w:hAnsi="Arial" w:cs="Arial"/>
          <w:bCs/>
          <w:sz w:val="22"/>
          <w:szCs w:val="22"/>
        </w:rPr>
        <w:t>…</w:t>
      </w:r>
    </w:p>
    <w:p w14:paraId="2E6DE64F" w14:textId="77777777" w:rsidR="00212953" w:rsidRPr="00D349E0" w:rsidRDefault="00212953" w:rsidP="00212953">
      <w:pPr>
        <w:rPr>
          <w:rFonts w:ascii="Arial" w:hAnsi="Arial" w:cs="Arial"/>
          <w:i/>
          <w:iCs/>
          <w:sz w:val="22"/>
          <w:szCs w:val="22"/>
        </w:rPr>
      </w:pPr>
    </w:p>
    <w:p w14:paraId="01AAA6A7" w14:textId="64C36584" w:rsidR="0031518F" w:rsidRDefault="0031518F" w:rsidP="00B3277C">
      <w:pPr>
        <w:spacing w:line="254" w:lineRule="auto"/>
        <w:ind w:left="360"/>
        <w:rPr>
          <w:rFonts w:ascii="Arial" w:hAnsi="Arial" w:cs="Arial"/>
          <w:i/>
          <w:iCs/>
          <w:sz w:val="22"/>
          <w:szCs w:val="22"/>
        </w:rPr>
      </w:pPr>
      <w:r w:rsidRPr="0031518F">
        <w:rPr>
          <w:rFonts w:ascii="Arial" w:hAnsi="Arial" w:cs="Arial"/>
          <w:iCs/>
          <w:color w:val="FF0000"/>
          <w:sz w:val="22"/>
          <w:szCs w:val="22"/>
        </w:rPr>
        <w:t xml:space="preserve">(While the typical implementation deadline is March 1, 2022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389C71B8" w14:textId="77777777" w:rsidR="0031518F" w:rsidRDefault="0031518F" w:rsidP="00B3277C">
      <w:pPr>
        <w:spacing w:line="254" w:lineRule="auto"/>
        <w:ind w:left="360"/>
        <w:rPr>
          <w:rFonts w:ascii="Arial" w:hAnsi="Arial" w:cs="Arial"/>
          <w:i/>
          <w:iCs/>
          <w:sz w:val="22"/>
          <w:szCs w:val="22"/>
        </w:rPr>
      </w:pPr>
    </w:p>
    <w:p w14:paraId="49A322FF" w14:textId="0AC81363" w:rsidR="00B3277C" w:rsidRPr="00D349E0" w:rsidRDefault="00212953" w:rsidP="00B3277C">
      <w:pPr>
        <w:spacing w:line="254" w:lineRule="auto"/>
        <w:ind w:left="360"/>
        <w:rPr>
          <w:rFonts w:ascii="Arial" w:hAnsi="Arial" w:cs="Arial"/>
          <w:b/>
          <w:bCs/>
          <w:iCs/>
          <w:color w:val="FF0000"/>
          <w:sz w:val="22"/>
          <w:szCs w:val="22"/>
        </w:rPr>
      </w:pPr>
      <w:r w:rsidRPr="00D349E0">
        <w:rPr>
          <w:rFonts w:ascii="Arial" w:hAnsi="Arial" w:cs="Arial"/>
          <w:i/>
          <w:iCs/>
          <w:sz w:val="22"/>
          <w:szCs w:val="22"/>
        </w:rPr>
        <w:t xml:space="preserve">12. An MLS </w:t>
      </w:r>
      <w:r w:rsidR="00EC0608">
        <w:rPr>
          <w:rFonts w:ascii="Arial" w:hAnsi="Arial" w:cs="Arial"/>
          <w:i/>
          <w:iCs/>
          <w:sz w:val="22"/>
          <w:szCs w:val="22"/>
        </w:rPr>
        <w:t>p</w:t>
      </w:r>
      <w:r w:rsidRPr="00D349E0">
        <w:rPr>
          <w:rFonts w:ascii="Arial" w:hAnsi="Arial" w:cs="Arial"/>
          <w:i/>
          <w:iCs/>
          <w:sz w:val="22"/>
          <w:szCs w:val="22"/>
        </w:rPr>
        <w:t>articipant’s IDX display must identify the listing firm</w:t>
      </w:r>
      <w:r w:rsidRPr="00D349E0">
        <w:rPr>
          <w:rFonts w:ascii="Arial" w:hAnsi="Arial" w:cs="Arial"/>
          <w:i/>
          <w:iCs/>
          <w:sz w:val="22"/>
          <w:szCs w:val="22"/>
          <w:u w:val="single"/>
        </w:rPr>
        <w:t>,</w:t>
      </w:r>
      <w:r w:rsidRPr="00D349E0">
        <w:rPr>
          <w:rFonts w:ascii="Arial" w:hAnsi="Arial" w:cs="Arial"/>
          <w:i/>
          <w:iCs/>
          <w:color w:val="000000"/>
          <w:sz w:val="22"/>
          <w:szCs w:val="22"/>
          <w:u w:val="single"/>
        </w:rPr>
        <w:t xml:space="preserve"> and the email </w:t>
      </w:r>
      <w:r w:rsidR="00A85D93">
        <w:rPr>
          <w:rFonts w:ascii="Arial" w:hAnsi="Arial" w:cs="Arial"/>
          <w:i/>
          <w:iCs/>
          <w:color w:val="000000"/>
          <w:sz w:val="22"/>
          <w:szCs w:val="22"/>
          <w:u w:val="single"/>
        </w:rPr>
        <w:t>or</w:t>
      </w:r>
      <w:r w:rsidR="00A85D93" w:rsidRPr="00D349E0">
        <w:rPr>
          <w:rFonts w:ascii="Arial" w:hAnsi="Arial" w:cs="Arial"/>
          <w:i/>
          <w:iCs/>
          <w:color w:val="000000"/>
          <w:sz w:val="22"/>
          <w:szCs w:val="22"/>
          <w:u w:val="single"/>
        </w:rPr>
        <w:t xml:space="preserve"> </w:t>
      </w:r>
      <w:r w:rsidRPr="00D349E0">
        <w:rPr>
          <w:rFonts w:ascii="Arial" w:hAnsi="Arial" w:cs="Arial"/>
          <w:i/>
          <w:iCs/>
          <w:color w:val="000000"/>
          <w:sz w:val="22"/>
          <w:szCs w:val="22"/>
          <w:u w:val="single"/>
        </w:rPr>
        <w:t>phone number provided by the listing participant</w:t>
      </w:r>
      <w:r w:rsidRPr="00D349E0">
        <w:rPr>
          <w:rStyle w:val="A1"/>
          <w:rFonts w:ascii="Arial" w:hAnsi="Arial" w:cs="Arial"/>
          <w:i/>
          <w:iCs/>
          <w:sz w:val="22"/>
          <w:szCs w:val="22"/>
          <w:u w:val="single"/>
        </w:rPr>
        <w:t xml:space="preserve"> </w:t>
      </w:r>
      <w:r w:rsidRPr="00D349E0">
        <w:rPr>
          <w:rFonts w:ascii="Arial" w:hAnsi="Arial" w:cs="Arial"/>
          <w:i/>
          <w:iCs/>
          <w:sz w:val="22"/>
          <w:szCs w:val="22"/>
        </w:rPr>
        <w:t xml:space="preserve">in a reasonably prominent location and in a readily </w:t>
      </w:r>
      <w:r w:rsidRPr="00D349E0">
        <w:rPr>
          <w:rFonts w:ascii="Arial" w:hAnsi="Arial" w:cs="Arial"/>
          <w:i/>
          <w:iCs/>
          <w:sz w:val="22"/>
          <w:szCs w:val="22"/>
        </w:rPr>
        <w:lastRenderedPageBreak/>
        <w:t xml:space="preserve">visible color and typeface not smaller than the median used in the display of listing data. </w:t>
      </w:r>
      <w:r w:rsidRPr="00D349E0">
        <w:rPr>
          <w:rFonts w:ascii="Arial" w:hAnsi="Arial" w:cs="Arial"/>
          <w:b/>
          <w:color w:val="FF0000"/>
          <w:sz w:val="22"/>
          <w:szCs w:val="22"/>
        </w:rPr>
        <w:t>M</w:t>
      </w:r>
      <w:r w:rsidR="00441282" w:rsidRPr="00D349E0">
        <w:rPr>
          <w:rFonts w:ascii="Arial" w:hAnsi="Arial" w:cs="Arial"/>
          <w:bCs/>
          <w:sz w:val="22"/>
          <w:szCs w:val="22"/>
        </w:rPr>
        <w:t>…</w:t>
      </w:r>
      <w:r w:rsidRPr="00D349E0">
        <w:rPr>
          <w:rFonts w:ascii="Arial" w:hAnsi="Arial" w:cs="Arial"/>
          <w:i/>
          <w:iCs/>
          <w:sz w:val="22"/>
          <w:szCs w:val="22"/>
        </w:rPr>
        <w:t xml:space="preserve"> </w:t>
      </w:r>
      <w:r w:rsidR="00567151">
        <w:rPr>
          <w:rFonts w:ascii="Arial" w:hAnsi="Arial" w:cs="Arial"/>
          <w:i/>
          <w:iCs/>
          <w:sz w:val="22"/>
          <w:szCs w:val="22"/>
        </w:rPr>
        <w:br/>
      </w:r>
      <w:r w:rsidR="00567151">
        <w:rPr>
          <w:rFonts w:ascii="Arial" w:hAnsi="Arial" w:cs="Arial"/>
          <w:i/>
          <w:iCs/>
          <w:sz w:val="22"/>
          <w:szCs w:val="22"/>
        </w:rPr>
        <w:br/>
      </w:r>
      <w:r w:rsidR="00B3277C" w:rsidRPr="00C76A3D">
        <w:rPr>
          <w:rFonts w:ascii="Arial" w:hAnsi="Arial" w:cs="Arial"/>
          <w:iCs/>
          <w:sz w:val="22"/>
          <w:szCs w:val="22"/>
        </w:rPr>
        <w:t xml:space="preserve">Note: </w:t>
      </w:r>
      <w:r w:rsidR="00B3277C">
        <w:rPr>
          <w:rFonts w:ascii="Arial" w:hAnsi="Arial" w:cs="Arial"/>
          <w:iCs/>
          <w:sz w:val="22"/>
          <w:szCs w:val="22"/>
        </w:rPr>
        <w:t>While the typical i</w:t>
      </w:r>
      <w:r w:rsidR="00B3277C" w:rsidRPr="00C77382">
        <w:rPr>
          <w:rFonts w:ascii="Arial" w:hAnsi="Arial" w:cs="Arial"/>
          <w:iCs/>
          <w:sz w:val="22"/>
          <w:szCs w:val="22"/>
        </w:rPr>
        <w:t xml:space="preserve">mplementation </w:t>
      </w:r>
      <w:r w:rsidR="00B3277C">
        <w:rPr>
          <w:rFonts w:ascii="Arial" w:hAnsi="Arial" w:cs="Arial"/>
          <w:iCs/>
          <w:sz w:val="22"/>
          <w:szCs w:val="22"/>
        </w:rPr>
        <w:t xml:space="preserve">deadline is March 1, 2022 for local adoption of MLS Policy Changes, the deadline for implementation </w:t>
      </w:r>
      <w:r w:rsidR="00B3277C" w:rsidRPr="00C77382">
        <w:rPr>
          <w:rFonts w:ascii="Arial" w:hAnsi="Arial" w:cs="Arial"/>
          <w:iCs/>
          <w:sz w:val="22"/>
          <w:szCs w:val="22"/>
        </w:rPr>
        <w:t>of this policy has been extended to September 1, 2022.</w:t>
      </w:r>
    </w:p>
    <w:p w14:paraId="49D059AA" w14:textId="12827545" w:rsidR="00212953" w:rsidRPr="00D349E0" w:rsidRDefault="00212953" w:rsidP="00B3277C">
      <w:pPr>
        <w:spacing w:line="254" w:lineRule="auto"/>
        <w:ind w:left="360"/>
        <w:rPr>
          <w:rFonts w:ascii="Arial" w:hAnsi="Arial" w:cs="Arial"/>
          <w:b/>
          <w:sz w:val="22"/>
          <w:szCs w:val="22"/>
        </w:rPr>
      </w:pPr>
    </w:p>
    <w:p w14:paraId="590CAB11" w14:textId="77777777" w:rsidR="00212953" w:rsidRPr="00D349E0" w:rsidRDefault="00212953" w:rsidP="00441282">
      <w:pPr>
        <w:pStyle w:val="Pa21"/>
        <w:ind w:left="360"/>
        <w:rPr>
          <w:rFonts w:ascii="Arial" w:hAnsi="Arial" w:cs="Arial"/>
          <w:b/>
          <w:bCs/>
          <w:iCs/>
          <w:color w:val="FF0000"/>
          <w:sz w:val="22"/>
          <w:szCs w:val="22"/>
        </w:rPr>
      </w:pPr>
      <w:r w:rsidRPr="00D349E0">
        <w:rPr>
          <w:rFonts w:ascii="Arial" w:hAnsi="Arial" w:cs="Arial"/>
          <w:b/>
          <w:bCs/>
          <w:iCs/>
          <w:color w:val="FF0000"/>
          <w:sz w:val="22"/>
          <w:szCs w:val="22"/>
        </w:rPr>
        <w:t xml:space="preserve">Policies Applicable to Multiple Listing Services </w:t>
      </w:r>
    </w:p>
    <w:p w14:paraId="560BA2FC" w14:textId="77777777" w:rsidR="00212953" w:rsidRPr="00D349E0" w:rsidRDefault="00212953" w:rsidP="00212953">
      <w:pPr>
        <w:rPr>
          <w:rFonts w:ascii="Arial" w:hAnsi="Arial" w:cs="Arial"/>
          <w:sz w:val="22"/>
          <w:szCs w:val="22"/>
        </w:rPr>
      </w:pPr>
    </w:p>
    <w:p w14:paraId="17788866" w14:textId="77777777" w:rsidR="00212953" w:rsidRPr="00D349E0" w:rsidRDefault="00212953" w:rsidP="00441282">
      <w:pPr>
        <w:pStyle w:val="Pa21"/>
        <w:ind w:left="360"/>
        <w:rPr>
          <w:rFonts w:ascii="Arial" w:hAnsi="Arial" w:cs="Arial"/>
          <w:sz w:val="22"/>
          <w:szCs w:val="22"/>
          <w:u w:val="single"/>
        </w:rPr>
      </w:pPr>
      <w:r w:rsidRPr="00D349E0">
        <w:rPr>
          <w:rFonts w:ascii="Arial" w:hAnsi="Arial" w:cs="Arial"/>
          <w:sz w:val="22"/>
          <w:szCs w:val="22"/>
          <w:u w:val="single"/>
        </w:rPr>
        <w:t xml:space="preserve">MLSs must designate compensation fields as non-confidential and make them available for display via participants’ and subscribers’ IDX and VOW displays. </w:t>
      </w:r>
    </w:p>
    <w:p w14:paraId="06156549" w14:textId="77777777" w:rsidR="00212953" w:rsidRPr="00D349E0" w:rsidRDefault="00212953" w:rsidP="00441282">
      <w:pPr>
        <w:pStyle w:val="Pa21"/>
        <w:ind w:left="360"/>
        <w:rPr>
          <w:rFonts w:ascii="Arial" w:hAnsi="Arial" w:cs="Arial"/>
          <w:b/>
          <w:bCs/>
          <w:i/>
          <w:color w:val="FF0000"/>
          <w:sz w:val="22"/>
          <w:szCs w:val="22"/>
        </w:rPr>
      </w:pPr>
      <w:r w:rsidRPr="00D349E0">
        <w:rPr>
          <w:rFonts w:ascii="Arial" w:hAnsi="Arial" w:cs="Arial"/>
          <w:sz w:val="22"/>
          <w:szCs w:val="22"/>
          <w:u w:val="single"/>
        </w:rPr>
        <w:br/>
      </w:r>
      <w:r w:rsidRPr="00D349E0">
        <w:rPr>
          <w:rFonts w:ascii="Arial" w:hAnsi="Arial" w:cs="Arial"/>
          <w:iCs/>
          <w:color w:val="000000"/>
          <w:sz w:val="22"/>
          <w:szCs w:val="22"/>
        </w:rPr>
        <w:t>The following guidelines are recommended but not required to conform to National Association policy.</w:t>
      </w:r>
      <w:r w:rsidRPr="00D349E0">
        <w:rPr>
          <w:rFonts w:ascii="Arial" w:hAnsi="Arial" w:cs="Arial"/>
          <w:iCs/>
          <w:sz w:val="22"/>
          <w:szCs w:val="22"/>
        </w:rPr>
        <w:t xml:space="preserve"> </w:t>
      </w:r>
      <w:r w:rsidRPr="00D349E0">
        <w:rPr>
          <w:rFonts w:ascii="Arial" w:hAnsi="Arial" w:cs="Arial"/>
          <w:i/>
          <w:color w:val="000000"/>
          <w:sz w:val="22"/>
          <w:szCs w:val="22"/>
        </w:rPr>
        <w:t>MLSs may:</w:t>
      </w:r>
      <w:r w:rsidRPr="00D349E0">
        <w:rPr>
          <w:rFonts w:ascii="Arial" w:hAnsi="Arial" w:cs="Arial"/>
          <w:iCs/>
          <w:sz w:val="22"/>
          <w:szCs w:val="22"/>
        </w:rPr>
        <w:t xml:space="preserve"> </w:t>
      </w:r>
      <w:r w:rsidRPr="00D349E0">
        <w:rPr>
          <w:rFonts w:ascii="Arial" w:hAnsi="Arial" w:cs="Arial"/>
          <w:iCs/>
          <w:sz w:val="22"/>
          <w:szCs w:val="22"/>
        </w:rPr>
        <w:br/>
      </w:r>
      <w:r w:rsidRPr="00D349E0">
        <w:rPr>
          <w:rFonts w:ascii="Arial" w:hAnsi="Arial" w:cs="Arial"/>
          <w:iCs/>
          <w:sz w:val="22"/>
          <w:szCs w:val="22"/>
        </w:rPr>
        <w:br/>
      </w:r>
      <w:r w:rsidRPr="00D349E0">
        <w:rPr>
          <w:rFonts w:ascii="Arial" w:hAnsi="Arial" w:cs="Arial"/>
          <w:i/>
          <w:sz w:val="22"/>
          <w:szCs w:val="22"/>
        </w:rPr>
        <w:t>1. prohibit display of expired</w:t>
      </w:r>
      <w:r w:rsidRPr="00D349E0">
        <w:rPr>
          <w:rFonts w:ascii="Arial" w:hAnsi="Arial" w:cs="Arial"/>
          <w:i/>
          <w:strike/>
          <w:sz w:val="22"/>
          <w:szCs w:val="22"/>
        </w:rPr>
        <w:t xml:space="preserve">, </w:t>
      </w:r>
      <w:r w:rsidRPr="00D349E0">
        <w:rPr>
          <w:rFonts w:ascii="Arial" w:hAnsi="Arial" w:cs="Arial"/>
          <w:i/>
          <w:strike/>
          <w:sz w:val="22"/>
          <w:szCs w:val="22"/>
          <w:u w:val="single"/>
        </w:rPr>
        <w:t>or</w:t>
      </w:r>
      <w:r w:rsidRPr="00D349E0">
        <w:rPr>
          <w:rFonts w:ascii="Arial" w:hAnsi="Arial" w:cs="Arial"/>
          <w:i/>
          <w:sz w:val="22"/>
          <w:szCs w:val="22"/>
          <w:u w:val="single"/>
        </w:rPr>
        <w:t xml:space="preserve"> </w:t>
      </w:r>
      <w:proofErr w:type="gramStart"/>
      <w:r w:rsidRPr="00D349E0">
        <w:rPr>
          <w:rFonts w:ascii="Arial" w:hAnsi="Arial" w:cs="Arial"/>
          <w:i/>
          <w:sz w:val="22"/>
          <w:szCs w:val="22"/>
        </w:rPr>
        <w:t xml:space="preserve">withdrawn </w:t>
      </w:r>
      <w:r w:rsidRPr="00D349E0">
        <w:rPr>
          <w:rFonts w:ascii="Arial" w:hAnsi="Arial" w:cs="Arial"/>
          <w:i/>
          <w:strike/>
          <w:sz w:val="22"/>
          <w:szCs w:val="22"/>
        </w:rPr>
        <w:t>,</w:t>
      </w:r>
      <w:proofErr w:type="gramEnd"/>
      <w:r w:rsidRPr="00D349E0">
        <w:rPr>
          <w:rFonts w:ascii="Arial" w:hAnsi="Arial" w:cs="Arial"/>
          <w:i/>
          <w:strike/>
          <w:sz w:val="22"/>
          <w:szCs w:val="22"/>
        </w:rPr>
        <w:t xml:space="preserve"> or sold </w:t>
      </w:r>
      <w:r w:rsidRPr="00D349E0">
        <w:rPr>
          <w:rFonts w:ascii="Arial" w:hAnsi="Arial" w:cs="Arial"/>
          <w:i/>
          <w:sz w:val="22"/>
          <w:szCs w:val="22"/>
        </w:rPr>
        <w:t>listings* (Amended 11/15)</w:t>
      </w:r>
      <w:r w:rsidRPr="00D349E0">
        <w:rPr>
          <w:rFonts w:ascii="Arial" w:hAnsi="Arial" w:cs="Arial"/>
          <w:i/>
          <w:sz w:val="22"/>
          <w:szCs w:val="22"/>
        </w:rPr>
        <w:br/>
      </w:r>
      <w:r w:rsidRPr="00D349E0">
        <w:rPr>
          <w:rFonts w:ascii="Arial" w:hAnsi="Arial" w:cs="Arial"/>
          <w:i/>
          <w:sz w:val="22"/>
          <w:szCs w:val="22"/>
        </w:rPr>
        <w:br/>
        <w:t xml:space="preserve">*Note: If “sold” information is not publicly accessible, display of </w:t>
      </w:r>
      <w:r w:rsidRPr="00D349E0">
        <w:rPr>
          <w:rFonts w:ascii="Arial" w:hAnsi="Arial" w:cs="Arial"/>
          <w:i/>
          <w:strike/>
          <w:sz w:val="22"/>
          <w:szCs w:val="22"/>
        </w:rPr>
        <w:t>“sold” listings may not be prohibited.</w:t>
      </w:r>
      <w:r w:rsidRPr="00D349E0">
        <w:rPr>
          <w:rFonts w:ascii="Arial" w:hAnsi="Arial" w:cs="Arial"/>
          <w:i/>
          <w:sz w:val="22"/>
          <w:szCs w:val="22"/>
        </w:rPr>
        <w:t xml:space="preserve"> </w:t>
      </w:r>
      <w:r w:rsidRPr="00D349E0">
        <w:rPr>
          <w:rFonts w:ascii="Arial" w:hAnsi="Arial" w:cs="Arial"/>
          <w:i/>
          <w:sz w:val="22"/>
          <w:szCs w:val="22"/>
          <w:u w:val="single"/>
        </w:rPr>
        <w:t>sales price of completed transactions may be prohibited</w:t>
      </w:r>
      <w:r w:rsidRPr="00D349E0">
        <w:rPr>
          <w:rFonts w:ascii="Arial" w:hAnsi="Arial" w:cs="Arial"/>
          <w:i/>
          <w:sz w:val="22"/>
          <w:szCs w:val="22"/>
        </w:rPr>
        <w:t>.</w:t>
      </w:r>
      <w:r w:rsidR="009153E5">
        <w:rPr>
          <w:rFonts w:ascii="Arial" w:hAnsi="Arial" w:cs="Arial"/>
          <w:i/>
          <w:sz w:val="22"/>
          <w:szCs w:val="22"/>
        </w:rPr>
        <w:t xml:space="preserve"> </w:t>
      </w:r>
      <w:r w:rsidRPr="00D349E0">
        <w:rPr>
          <w:rFonts w:ascii="Arial" w:hAnsi="Arial" w:cs="Arial"/>
          <w:b/>
          <w:bCs/>
          <w:i/>
          <w:color w:val="FF0000"/>
          <w:sz w:val="22"/>
          <w:szCs w:val="22"/>
        </w:rPr>
        <w:t>O</w:t>
      </w:r>
    </w:p>
    <w:p w14:paraId="7DDB45C8" w14:textId="77777777" w:rsidR="00212953" w:rsidRPr="00D349E0" w:rsidRDefault="00212953" w:rsidP="00D349E0">
      <w:pPr>
        <w:pStyle w:val="Pa21"/>
        <w:rPr>
          <w:rFonts w:ascii="Arial" w:hAnsi="Arial" w:cs="Arial"/>
          <w:i/>
          <w:sz w:val="22"/>
          <w:szCs w:val="22"/>
        </w:rPr>
      </w:pPr>
    </w:p>
    <w:p w14:paraId="6011068F" w14:textId="77777777" w:rsidR="00212953" w:rsidRDefault="00212953" w:rsidP="00D349E0">
      <w:pPr>
        <w:pStyle w:val="ListParagraph"/>
        <w:spacing w:after="160" w:line="259" w:lineRule="auto"/>
        <w:ind w:left="360"/>
        <w:contextualSpacing/>
        <w:rPr>
          <w:rFonts w:ascii="Arial" w:hAnsi="Arial" w:cs="Arial"/>
          <w:sz w:val="22"/>
          <w:szCs w:val="22"/>
        </w:rPr>
      </w:pPr>
      <w:r w:rsidRPr="00D349E0">
        <w:rPr>
          <w:rFonts w:ascii="Arial" w:hAnsi="Arial" w:cs="Arial"/>
          <w:sz w:val="22"/>
          <w:szCs w:val="22"/>
        </w:rPr>
        <w:t>2.</w:t>
      </w:r>
      <w:r w:rsidRPr="00D349E0">
        <w:rPr>
          <w:rFonts w:ascii="Arial" w:hAnsi="Arial" w:cs="Arial"/>
          <w:sz w:val="22"/>
          <w:szCs w:val="22"/>
        </w:rPr>
        <w:t> </w:t>
      </w:r>
      <w:r w:rsidRPr="00D349E0">
        <w:rPr>
          <w:rFonts w:ascii="Arial" w:hAnsi="Arial" w:cs="Arial"/>
          <w:sz w:val="22"/>
          <w:szCs w:val="22"/>
        </w:rPr>
        <w:t xml:space="preserve"> prohibit display of confidential information fields intended for cooperating brokers rather than consumers including</w:t>
      </w:r>
      <w:r w:rsidRPr="00D349E0">
        <w:rPr>
          <w:rFonts w:ascii="Arial" w:hAnsi="Arial" w:cs="Arial"/>
          <w:strike/>
          <w:sz w:val="22"/>
          <w:szCs w:val="22"/>
        </w:rPr>
        <w:t xml:space="preserve"> compensation offered to other MLS participants, </w:t>
      </w:r>
      <w:r w:rsidRPr="00D349E0">
        <w:rPr>
          <w:rFonts w:ascii="Arial" w:hAnsi="Arial" w:cs="Arial"/>
          <w:sz w:val="22"/>
          <w:szCs w:val="22"/>
        </w:rPr>
        <w:t>showing instructions</w:t>
      </w:r>
      <w:r w:rsidRPr="00D349E0">
        <w:rPr>
          <w:rFonts w:ascii="Arial" w:hAnsi="Arial" w:cs="Arial"/>
          <w:strike/>
          <w:sz w:val="22"/>
          <w:szCs w:val="22"/>
        </w:rPr>
        <w:t xml:space="preserve">, </w:t>
      </w:r>
      <w:r w:rsidRPr="00D349E0">
        <w:rPr>
          <w:rFonts w:ascii="Arial" w:hAnsi="Arial" w:cs="Arial"/>
          <w:sz w:val="22"/>
          <w:szCs w:val="22"/>
          <w:u w:val="single"/>
        </w:rPr>
        <w:t>and</w:t>
      </w:r>
      <w:r w:rsidRPr="00D349E0">
        <w:rPr>
          <w:rFonts w:ascii="Arial" w:hAnsi="Arial" w:cs="Arial"/>
          <w:sz w:val="22"/>
          <w:szCs w:val="22"/>
        </w:rPr>
        <w:t xml:space="preserve"> property security information</w:t>
      </w:r>
      <w:r w:rsidRPr="00D349E0">
        <w:rPr>
          <w:rFonts w:ascii="Arial" w:hAnsi="Arial" w:cs="Arial"/>
          <w:strike/>
          <w:sz w:val="22"/>
          <w:szCs w:val="22"/>
        </w:rPr>
        <w:t xml:space="preserve">, </w:t>
      </w:r>
      <w:proofErr w:type="spellStart"/>
      <w:r w:rsidRPr="00D349E0">
        <w:rPr>
          <w:rFonts w:ascii="Arial" w:hAnsi="Arial" w:cs="Arial"/>
          <w:strike/>
          <w:sz w:val="22"/>
          <w:szCs w:val="22"/>
        </w:rPr>
        <w:t>etc</w:t>
      </w:r>
      <w:proofErr w:type="spellEnd"/>
      <w:r w:rsidR="00D349E0" w:rsidRPr="00D349E0">
        <w:rPr>
          <w:rFonts w:ascii="Arial" w:hAnsi="Arial" w:cs="Arial"/>
          <w:sz w:val="22"/>
          <w:szCs w:val="22"/>
        </w:rPr>
        <w:t>…</w:t>
      </w:r>
    </w:p>
    <w:p w14:paraId="0835945D" w14:textId="77777777" w:rsidR="009153E5" w:rsidRPr="00D349E0" w:rsidRDefault="009153E5" w:rsidP="00D349E0">
      <w:pPr>
        <w:pStyle w:val="ListParagraph"/>
        <w:spacing w:after="160" w:line="259" w:lineRule="auto"/>
        <w:ind w:left="360"/>
        <w:contextualSpacing/>
        <w:rPr>
          <w:rFonts w:ascii="Arial" w:hAnsi="Arial" w:cs="Arial"/>
          <w:b/>
          <w:sz w:val="22"/>
          <w:szCs w:val="22"/>
        </w:rPr>
      </w:pPr>
    </w:p>
    <w:bookmarkEnd w:id="1"/>
    <w:p w14:paraId="0A89634B" w14:textId="77777777" w:rsidR="000B5844" w:rsidRPr="00D349E0" w:rsidRDefault="00D349E0" w:rsidP="002238F9">
      <w:pPr>
        <w:numPr>
          <w:ilvl w:val="0"/>
          <w:numId w:val="1"/>
        </w:numPr>
        <w:autoSpaceDE w:val="0"/>
        <w:autoSpaceDN w:val="0"/>
        <w:adjustRightInd w:val="0"/>
        <w:rPr>
          <w:rFonts w:ascii="Arial" w:hAnsi="Arial" w:cs="Arial"/>
          <w:b/>
          <w:sz w:val="22"/>
          <w:szCs w:val="22"/>
        </w:rPr>
      </w:pPr>
      <w:r w:rsidRPr="00D349E0">
        <w:rPr>
          <w:rFonts w:ascii="Arial" w:hAnsi="Arial" w:cs="Arial"/>
          <w:b/>
          <w:sz w:val="22"/>
          <w:szCs w:val="22"/>
        </w:rPr>
        <w:t xml:space="preserve">MLS Policy Statement 7.91, </w:t>
      </w:r>
      <w:r w:rsidR="000B5844" w:rsidRPr="00D349E0">
        <w:rPr>
          <w:rFonts w:ascii="Arial" w:hAnsi="Arial" w:cs="Arial"/>
          <w:b/>
          <w:sz w:val="22"/>
          <w:szCs w:val="22"/>
        </w:rPr>
        <w:t>Virtual Office Websites (VOW)</w:t>
      </w:r>
      <w:r w:rsidRPr="00D349E0">
        <w:rPr>
          <w:rFonts w:ascii="Arial" w:hAnsi="Arial" w:cs="Arial"/>
          <w:b/>
          <w:sz w:val="22"/>
          <w:szCs w:val="22"/>
        </w:rPr>
        <w:t xml:space="preserve"> </w:t>
      </w:r>
      <w:r w:rsidR="000B5844" w:rsidRPr="00D349E0">
        <w:rPr>
          <w:rFonts w:ascii="Arial" w:hAnsi="Arial" w:cs="Arial"/>
          <w:b/>
          <w:sz w:val="22"/>
          <w:szCs w:val="22"/>
        </w:rPr>
        <w:t>Policy</w:t>
      </w:r>
    </w:p>
    <w:p w14:paraId="53B2EDDD" w14:textId="77777777" w:rsidR="000A49EF" w:rsidRPr="00D349E0" w:rsidRDefault="000A49EF" w:rsidP="000B5844">
      <w:pPr>
        <w:autoSpaceDE w:val="0"/>
        <w:autoSpaceDN w:val="0"/>
        <w:adjustRightInd w:val="0"/>
        <w:ind w:left="360"/>
        <w:rPr>
          <w:rFonts w:ascii="Arial" w:hAnsi="Arial" w:cs="Arial"/>
          <w:b/>
          <w:i/>
          <w:iCs/>
          <w:sz w:val="22"/>
          <w:szCs w:val="22"/>
        </w:rPr>
      </w:pPr>
    </w:p>
    <w:p w14:paraId="125C2B47" w14:textId="4CC8028A" w:rsidR="009153E5" w:rsidRDefault="00D349E0" w:rsidP="00D349E0">
      <w:pPr>
        <w:ind w:left="360"/>
        <w:rPr>
          <w:rFonts w:ascii="Arial" w:hAnsi="Arial" w:cs="Arial"/>
          <w:i/>
          <w:iCs/>
          <w:color w:val="000000"/>
          <w:sz w:val="22"/>
          <w:szCs w:val="22"/>
        </w:rPr>
      </w:pPr>
      <w:r w:rsidRPr="009153E5">
        <w:rPr>
          <w:rFonts w:ascii="Arial" w:hAnsi="Arial" w:cs="Arial"/>
          <w:b/>
          <w:bCs/>
          <w:i/>
          <w:iCs/>
          <w:color w:val="000000"/>
          <w:sz w:val="22"/>
          <w:szCs w:val="22"/>
        </w:rPr>
        <w:t>II. Policies Applicable to Participants’ VOWs…</w:t>
      </w:r>
      <w:r w:rsidRPr="009153E5">
        <w:rPr>
          <w:rFonts w:ascii="Arial" w:hAnsi="Arial" w:cs="Arial"/>
          <w:i/>
          <w:iCs/>
          <w:color w:val="000000"/>
          <w:sz w:val="22"/>
          <w:szCs w:val="22"/>
          <w:u w:val="single"/>
        </w:rPr>
        <w:br/>
      </w:r>
      <w:r w:rsidRPr="00D349E0">
        <w:rPr>
          <w:rFonts w:ascii="Arial" w:hAnsi="Arial" w:cs="Arial"/>
          <w:i/>
          <w:iCs/>
          <w:color w:val="000000"/>
          <w:sz w:val="22"/>
          <w:szCs w:val="22"/>
          <w:u w:val="single"/>
        </w:rPr>
        <w:t xml:space="preserve"> </w:t>
      </w:r>
      <w:r w:rsidRPr="00D349E0">
        <w:rPr>
          <w:rFonts w:ascii="Arial" w:hAnsi="Arial" w:cs="Arial"/>
          <w:i/>
          <w:iCs/>
          <w:color w:val="000000"/>
          <w:sz w:val="22"/>
          <w:szCs w:val="22"/>
          <w:u w:val="single"/>
        </w:rPr>
        <w:br/>
      </w:r>
      <w:r w:rsidRPr="009153E5">
        <w:rPr>
          <w:rFonts w:ascii="Arial" w:hAnsi="Arial" w:cs="Arial"/>
          <w:i/>
          <w:iCs/>
          <w:color w:val="000000"/>
          <w:sz w:val="22"/>
          <w:szCs w:val="22"/>
        </w:rPr>
        <w:t>5.</w:t>
      </w:r>
      <w:r w:rsidR="009153E5">
        <w:rPr>
          <w:rFonts w:ascii="Arial" w:hAnsi="Arial" w:cs="Arial"/>
          <w:i/>
          <w:iCs/>
          <w:color w:val="000000"/>
          <w:sz w:val="22"/>
          <w:szCs w:val="22"/>
        </w:rPr>
        <w:t xml:space="preserve"> A </w:t>
      </w:r>
      <w:r w:rsidR="00EC0608">
        <w:rPr>
          <w:rFonts w:ascii="Arial" w:hAnsi="Arial" w:cs="Arial"/>
          <w:i/>
          <w:iCs/>
          <w:color w:val="000000"/>
          <w:sz w:val="22"/>
          <w:szCs w:val="22"/>
        </w:rPr>
        <w:t>p</w:t>
      </w:r>
      <w:r w:rsidR="009153E5">
        <w:rPr>
          <w:rFonts w:ascii="Arial" w:hAnsi="Arial" w:cs="Arial"/>
          <w:i/>
          <w:iCs/>
          <w:color w:val="000000"/>
          <w:sz w:val="22"/>
          <w:szCs w:val="22"/>
        </w:rPr>
        <w:t>articipant’s VOW must comply with the following additional requirements…</w:t>
      </w:r>
    </w:p>
    <w:p w14:paraId="74F4FD29" w14:textId="77777777" w:rsidR="009153E5" w:rsidRDefault="009153E5" w:rsidP="00D349E0">
      <w:pPr>
        <w:ind w:left="360"/>
        <w:rPr>
          <w:rFonts w:ascii="Arial" w:hAnsi="Arial" w:cs="Arial"/>
          <w:i/>
          <w:iCs/>
          <w:color w:val="000000"/>
          <w:sz w:val="22"/>
          <w:szCs w:val="22"/>
        </w:rPr>
      </w:pPr>
    </w:p>
    <w:p w14:paraId="75A0FAD6" w14:textId="77777777" w:rsidR="00D349E0" w:rsidRDefault="00D349E0" w:rsidP="00D349E0">
      <w:pPr>
        <w:ind w:left="360"/>
        <w:rPr>
          <w:rFonts w:ascii="Arial" w:hAnsi="Arial" w:cs="Arial"/>
          <w:b/>
          <w:bCs/>
          <w:i/>
          <w:sz w:val="22"/>
          <w:szCs w:val="22"/>
        </w:rPr>
      </w:pPr>
      <w:r w:rsidRPr="009153E5">
        <w:rPr>
          <w:rFonts w:ascii="Arial" w:hAnsi="Arial" w:cs="Arial"/>
          <w:i/>
          <w:iCs/>
          <w:color w:val="000000"/>
          <w:sz w:val="22"/>
          <w:szCs w:val="22"/>
        </w:rPr>
        <w:t>h. A VOW may exclude listings from display based only on objective criteria, including, but not limited to, factors such as geography, list price, or type of property</w:t>
      </w:r>
      <w:r w:rsidRPr="009153E5">
        <w:rPr>
          <w:rFonts w:ascii="Arial" w:hAnsi="Arial" w:cs="Arial"/>
          <w:i/>
          <w:iCs/>
          <w:strike/>
          <w:color w:val="000000"/>
          <w:sz w:val="22"/>
          <w:szCs w:val="22"/>
        </w:rPr>
        <w:t>, cooperative compensation offered by listing broker or whether the listing broker is a REALTOR®</w:t>
      </w:r>
      <w:r w:rsidRPr="009153E5">
        <w:rPr>
          <w:rFonts w:ascii="Arial" w:hAnsi="Arial" w:cs="Arial"/>
          <w:i/>
          <w:iCs/>
          <w:color w:val="000000"/>
          <w:sz w:val="22"/>
          <w:szCs w:val="22"/>
        </w:rPr>
        <w:t xml:space="preserve">. </w:t>
      </w:r>
      <w:r w:rsidRPr="009153E5">
        <w:rPr>
          <w:rFonts w:ascii="Arial" w:hAnsi="Arial" w:cs="Arial"/>
          <w:b/>
          <w:bCs/>
          <w:i/>
          <w:iCs/>
          <w:color w:val="FF0000"/>
          <w:sz w:val="22"/>
          <w:szCs w:val="22"/>
        </w:rPr>
        <w:t>O</w:t>
      </w:r>
      <w:r w:rsidR="009153E5">
        <w:rPr>
          <w:rFonts w:ascii="Arial" w:hAnsi="Arial" w:cs="Arial"/>
          <w:b/>
          <w:bCs/>
          <w:i/>
          <w:iCs/>
          <w:color w:val="FF0000"/>
          <w:sz w:val="22"/>
          <w:szCs w:val="22"/>
        </w:rPr>
        <w:t xml:space="preserve"> </w:t>
      </w:r>
      <w:r w:rsidR="009153E5" w:rsidRPr="009153E5">
        <w:rPr>
          <w:rFonts w:ascii="Arial" w:hAnsi="Arial" w:cs="Arial"/>
          <w:b/>
          <w:bCs/>
          <w:i/>
          <w:iCs/>
          <w:sz w:val="22"/>
          <w:szCs w:val="22"/>
        </w:rPr>
        <w:t>…</w:t>
      </w:r>
      <w:r w:rsidRPr="009153E5">
        <w:rPr>
          <w:rFonts w:ascii="Arial" w:hAnsi="Arial" w:cs="Arial"/>
          <w:i/>
          <w:iCs/>
          <w:color w:val="000000"/>
          <w:sz w:val="22"/>
          <w:szCs w:val="22"/>
        </w:rPr>
        <w:br/>
      </w:r>
    </w:p>
    <w:p w14:paraId="3BC3E824" w14:textId="1A5309FC" w:rsidR="00D349E0" w:rsidRPr="00D349E0" w:rsidRDefault="000A49EF" w:rsidP="000B5844">
      <w:pPr>
        <w:autoSpaceDE w:val="0"/>
        <w:autoSpaceDN w:val="0"/>
        <w:adjustRightInd w:val="0"/>
        <w:ind w:left="360"/>
        <w:rPr>
          <w:rFonts w:ascii="Arial" w:hAnsi="Arial" w:cs="Arial"/>
          <w:b/>
          <w:bCs/>
          <w:i/>
          <w:color w:val="FF0000"/>
          <w:sz w:val="22"/>
          <w:szCs w:val="22"/>
        </w:rPr>
      </w:pPr>
      <w:r w:rsidRPr="00D349E0">
        <w:rPr>
          <w:rFonts w:ascii="Arial" w:hAnsi="Arial" w:cs="Arial"/>
          <w:b/>
          <w:bCs/>
          <w:i/>
          <w:sz w:val="22"/>
          <w:szCs w:val="22"/>
        </w:rPr>
        <w:t>III. Policies Applicable to Multiple Listing Services</w:t>
      </w:r>
      <w:r w:rsidR="009153E5">
        <w:rPr>
          <w:rFonts w:ascii="Arial" w:hAnsi="Arial" w:cs="Arial"/>
          <w:b/>
          <w:bCs/>
          <w:i/>
          <w:sz w:val="22"/>
          <w:szCs w:val="22"/>
        </w:rPr>
        <w:t xml:space="preserve"> </w:t>
      </w:r>
      <w:r w:rsidR="00D349E0">
        <w:rPr>
          <w:rFonts w:ascii="Arial" w:hAnsi="Arial" w:cs="Arial"/>
          <w:b/>
          <w:bCs/>
          <w:i/>
          <w:sz w:val="22"/>
          <w:szCs w:val="22"/>
        </w:rPr>
        <w:t>…</w:t>
      </w:r>
      <w:r w:rsidRPr="00D349E0">
        <w:rPr>
          <w:rFonts w:ascii="Arial" w:hAnsi="Arial" w:cs="Arial"/>
          <w:b/>
          <w:bCs/>
          <w:i/>
          <w:sz w:val="22"/>
          <w:szCs w:val="22"/>
        </w:rPr>
        <w:br/>
      </w:r>
      <w:r w:rsidRPr="00D349E0">
        <w:rPr>
          <w:rFonts w:ascii="Arial" w:hAnsi="Arial" w:cs="Arial"/>
          <w:b/>
          <w:bCs/>
          <w:i/>
          <w:sz w:val="22"/>
          <w:szCs w:val="22"/>
        </w:rPr>
        <w:br/>
      </w:r>
      <w:r w:rsidRPr="00D349E0">
        <w:rPr>
          <w:rFonts w:ascii="Arial" w:hAnsi="Arial" w:cs="Arial"/>
          <w:i/>
          <w:sz w:val="22"/>
          <w:szCs w:val="22"/>
        </w:rPr>
        <w:t xml:space="preserve">2. An MLS shall, if requested by a participant, provide basic downloading of all MLS non-confidential listing data, including, without limitation, address fields, listing types, photographs, and links to virtual tours. Confidential data includes only that which participants are prohibited from providing to customers orally and by all other delivery mechanisms. They include fields containing the information described in Section IV.1. of this policy, provided that </w:t>
      </w:r>
      <w:r w:rsidRPr="00D349E0">
        <w:rPr>
          <w:rFonts w:ascii="Arial" w:hAnsi="Arial" w:cs="Arial"/>
          <w:i/>
          <w:strike/>
          <w:sz w:val="22"/>
          <w:szCs w:val="22"/>
        </w:rPr>
        <w:t>sold data (i.e., listing information relating to properties that have sold) shall be deemed confidential and withheld from a download only if the actual sales prices of completed transactions are not accessible from public records,</w:t>
      </w:r>
      <w:r w:rsidRPr="00D349E0">
        <w:rPr>
          <w:rFonts w:ascii="Arial" w:hAnsi="Arial" w:cs="Arial"/>
          <w:i/>
          <w:sz w:val="22"/>
          <w:szCs w:val="22"/>
        </w:rPr>
        <w:t xml:space="preserve"> </w:t>
      </w:r>
      <w:r w:rsidRPr="00D349E0">
        <w:rPr>
          <w:rFonts w:ascii="Arial" w:hAnsi="Arial" w:cs="Arial"/>
          <w:i/>
          <w:sz w:val="22"/>
          <w:szCs w:val="22"/>
          <w:u w:val="single"/>
        </w:rPr>
        <w:t>sales prices may be deemed confidential and withheld from display</w:t>
      </w:r>
      <w:r w:rsidR="00D349E0">
        <w:rPr>
          <w:rFonts w:ascii="Arial" w:hAnsi="Arial" w:cs="Arial"/>
          <w:i/>
          <w:sz w:val="22"/>
          <w:szCs w:val="22"/>
        </w:rPr>
        <w:t>.</w:t>
      </w:r>
      <w:r w:rsidR="009153E5">
        <w:rPr>
          <w:rFonts w:ascii="Arial" w:hAnsi="Arial" w:cs="Arial"/>
          <w:i/>
          <w:sz w:val="22"/>
          <w:szCs w:val="22"/>
        </w:rPr>
        <w:t xml:space="preserve"> …</w:t>
      </w:r>
      <w:r w:rsidRPr="00D349E0">
        <w:rPr>
          <w:rFonts w:ascii="Arial" w:hAnsi="Arial" w:cs="Arial"/>
          <w:b/>
          <w:bCs/>
          <w:i/>
          <w:sz w:val="22"/>
          <w:szCs w:val="22"/>
        </w:rPr>
        <w:t xml:space="preserve"> </w:t>
      </w:r>
    </w:p>
    <w:p w14:paraId="65AD856B" w14:textId="77777777" w:rsidR="00D349E0" w:rsidRPr="00D349E0" w:rsidRDefault="00D349E0" w:rsidP="000B5844">
      <w:pPr>
        <w:autoSpaceDE w:val="0"/>
        <w:autoSpaceDN w:val="0"/>
        <w:adjustRightInd w:val="0"/>
        <w:ind w:left="360"/>
        <w:rPr>
          <w:rFonts w:ascii="Arial" w:hAnsi="Arial" w:cs="Arial"/>
          <w:b/>
          <w:i/>
          <w:iCs/>
          <w:sz w:val="22"/>
          <w:szCs w:val="22"/>
        </w:rPr>
      </w:pPr>
    </w:p>
    <w:p w14:paraId="4CE439A1" w14:textId="77777777" w:rsidR="00E708C6" w:rsidRPr="00D349E0" w:rsidRDefault="00E708C6" w:rsidP="000B5844">
      <w:pPr>
        <w:autoSpaceDE w:val="0"/>
        <w:autoSpaceDN w:val="0"/>
        <w:adjustRightInd w:val="0"/>
        <w:ind w:left="360"/>
        <w:rPr>
          <w:rFonts w:ascii="Arial" w:hAnsi="Arial" w:cs="Arial"/>
          <w:b/>
          <w:i/>
          <w:iCs/>
          <w:sz w:val="22"/>
          <w:szCs w:val="22"/>
        </w:rPr>
      </w:pPr>
      <w:r w:rsidRPr="00D349E0">
        <w:rPr>
          <w:rFonts w:ascii="Arial" w:hAnsi="Arial" w:cs="Arial"/>
          <w:b/>
          <w:i/>
          <w:iCs/>
          <w:sz w:val="22"/>
          <w:szCs w:val="22"/>
        </w:rPr>
        <w:t>IV. Requirements that MLSs May Impose on the Operation of VOWs and Participants</w:t>
      </w:r>
    </w:p>
    <w:p w14:paraId="6A83B492" w14:textId="77777777" w:rsidR="000E7159" w:rsidRPr="00D349E0" w:rsidRDefault="000E7159" w:rsidP="000E7159">
      <w:pPr>
        <w:autoSpaceDE w:val="0"/>
        <w:autoSpaceDN w:val="0"/>
        <w:adjustRightInd w:val="0"/>
        <w:rPr>
          <w:rFonts w:ascii="Arial" w:hAnsi="Arial" w:cs="Arial"/>
          <w:b/>
          <w:i/>
          <w:iCs/>
          <w:sz w:val="22"/>
          <w:szCs w:val="22"/>
        </w:rPr>
      </w:pPr>
    </w:p>
    <w:p w14:paraId="59B33222" w14:textId="77777777" w:rsidR="004C70EA" w:rsidRPr="00D349E0" w:rsidRDefault="00D349E0" w:rsidP="00D349E0">
      <w:pPr>
        <w:pStyle w:val="Pa21"/>
        <w:ind w:left="360"/>
        <w:rPr>
          <w:rFonts w:ascii="Arial" w:hAnsi="Arial" w:cs="Arial"/>
          <w:i/>
          <w:sz w:val="22"/>
          <w:szCs w:val="22"/>
        </w:rPr>
      </w:pPr>
      <w:r>
        <w:rPr>
          <w:rFonts w:ascii="Arial" w:hAnsi="Arial" w:cs="Arial"/>
          <w:i/>
          <w:sz w:val="22"/>
          <w:szCs w:val="22"/>
        </w:rPr>
        <w:t xml:space="preserve">1. </w:t>
      </w:r>
      <w:r w:rsidR="00F12A06" w:rsidRPr="00D349E0">
        <w:rPr>
          <w:rFonts w:ascii="Arial" w:hAnsi="Arial" w:cs="Arial"/>
          <w:i/>
          <w:sz w:val="22"/>
          <w:szCs w:val="22"/>
        </w:rPr>
        <w:t>An MLS may impose any, all, or none of the following requirements on VOWs, but may impose them only to the extent that equivalent requirements are imposed on participants’ use of MLS listing data in providing brokerage services via all other delivery mechanisms.</w:t>
      </w:r>
    </w:p>
    <w:p w14:paraId="4A972E2C" w14:textId="77777777" w:rsidR="004C70EA" w:rsidRPr="00D349E0" w:rsidRDefault="004C70EA" w:rsidP="004C70EA">
      <w:pPr>
        <w:rPr>
          <w:rFonts w:ascii="Arial" w:hAnsi="Arial" w:cs="Arial"/>
          <w:sz w:val="22"/>
          <w:szCs w:val="22"/>
        </w:rPr>
      </w:pPr>
    </w:p>
    <w:p w14:paraId="24D33670" w14:textId="77777777" w:rsidR="004C70EA" w:rsidRPr="00D349E0" w:rsidRDefault="00F12A06" w:rsidP="002238F9">
      <w:pPr>
        <w:pStyle w:val="Pa21"/>
        <w:numPr>
          <w:ilvl w:val="0"/>
          <w:numId w:val="6"/>
        </w:numPr>
        <w:ind w:left="720"/>
        <w:rPr>
          <w:rFonts w:ascii="Arial" w:hAnsi="Arial" w:cs="Arial"/>
          <w:i/>
          <w:strike/>
          <w:sz w:val="22"/>
          <w:szCs w:val="22"/>
        </w:rPr>
      </w:pPr>
      <w:r w:rsidRPr="00D349E0">
        <w:rPr>
          <w:rFonts w:ascii="Arial" w:hAnsi="Arial" w:cs="Arial"/>
          <w:i/>
          <w:sz w:val="22"/>
          <w:szCs w:val="22"/>
        </w:rPr>
        <w:lastRenderedPageBreak/>
        <w:t>A participant’s VOW may not make available for search by or display to Registrants the following data, intended exclusively for other MLS participants and their affiliated</w:t>
      </w:r>
      <w:r w:rsidRPr="00D349E0">
        <w:rPr>
          <w:rFonts w:ascii="Arial" w:hAnsi="Arial" w:cs="Arial"/>
          <w:b/>
          <w:bCs/>
          <w:i/>
          <w:sz w:val="22"/>
          <w:szCs w:val="22"/>
        </w:rPr>
        <w:t xml:space="preserve"> </w:t>
      </w:r>
      <w:r w:rsidRPr="00D349E0">
        <w:rPr>
          <w:rFonts w:ascii="Arial" w:hAnsi="Arial" w:cs="Arial"/>
          <w:i/>
          <w:sz w:val="22"/>
          <w:szCs w:val="22"/>
        </w:rPr>
        <w:t>licensees:</w:t>
      </w:r>
      <w:r w:rsidRPr="00D349E0">
        <w:rPr>
          <w:rFonts w:ascii="Arial" w:hAnsi="Arial" w:cs="Arial"/>
          <w:i/>
          <w:sz w:val="22"/>
          <w:szCs w:val="22"/>
        </w:rPr>
        <w:br/>
      </w:r>
    </w:p>
    <w:p w14:paraId="55DC221B" w14:textId="77777777" w:rsidR="004C70EA" w:rsidRPr="00D349E0" w:rsidRDefault="00F12A06" w:rsidP="002238F9">
      <w:pPr>
        <w:pStyle w:val="Pa21"/>
        <w:numPr>
          <w:ilvl w:val="1"/>
          <w:numId w:val="6"/>
        </w:numPr>
        <w:ind w:left="1170"/>
        <w:rPr>
          <w:rFonts w:ascii="Arial" w:hAnsi="Arial" w:cs="Arial"/>
          <w:i/>
          <w:strike/>
          <w:sz w:val="22"/>
          <w:szCs w:val="22"/>
        </w:rPr>
      </w:pPr>
      <w:r w:rsidRPr="00D349E0">
        <w:rPr>
          <w:rFonts w:ascii="Arial" w:hAnsi="Arial" w:cs="Arial"/>
          <w:i/>
          <w:sz w:val="22"/>
          <w:szCs w:val="22"/>
        </w:rPr>
        <w:t>expired, withdrawn, or pending listings</w:t>
      </w:r>
    </w:p>
    <w:p w14:paraId="79154138" w14:textId="77777777" w:rsidR="004C70EA" w:rsidRPr="00D349E0" w:rsidRDefault="00F12A06" w:rsidP="002238F9">
      <w:pPr>
        <w:pStyle w:val="Pa21"/>
        <w:numPr>
          <w:ilvl w:val="1"/>
          <w:numId w:val="6"/>
        </w:numPr>
        <w:ind w:left="1170"/>
        <w:rPr>
          <w:rFonts w:ascii="Arial" w:hAnsi="Arial" w:cs="Arial"/>
          <w:i/>
          <w:strike/>
          <w:sz w:val="22"/>
          <w:szCs w:val="22"/>
        </w:rPr>
      </w:pPr>
      <w:r w:rsidRPr="00D349E0">
        <w:rPr>
          <w:rFonts w:ascii="Arial" w:hAnsi="Arial" w:cs="Arial"/>
          <w:i/>
          <w:sz w:val="22"/>
          <w:szCs w:val="22"/>
          <w:u w:val="single"/>
        </w:rPr>
        <w:t>sales price on sold data if the actual sales price of completed transactions is not</w:t>
      </w:r>
      <w:r w:rsidRPr="00D349E0">
        <w:rPr>
          <w:rFonts w:ascii="Arial" w:hAnsi="Arial" w:cs="Arial"/>
          <w:b/>
          <w:bCs/>
          <w:i/>
          <w:sz w:val="22"/>
          <w:szCs w:val="22"/>
        </w:rPr>
        <w:t xml:space="preserve"> </w:t>
      </w:r>
      <w:r w:rsidRPr="00D349E0">
        <w:rPr>
          <w:rFonts w:ascii="Arial" w:hAnsi="Arial" w:cs="Arial"/>
          <w:i/>
          <w:sz w:val="22"/>
          <w:szCs w:val="22"/>
          <w:u w:val="single"/>
        </w:rPr>
        <w:t>accessible from public records.</w:t>
      </w:r>
      <w:r w:rsidRPr="00D349E0">
        <w:rPr>
          <w:rFonts w:ascii="Arial" w:hAnsi="Arial" w:cs="Arial"/>
          <w:i/>
          <w:sz w:val="22"/>
          <w:szCs w:val="22"/>
        </w:rPr>
        <w:t xml:space="preserve"> </w:t>
      </w:r>
      <w:r w:rsidRPr="00D349E0">
        <w:rPr>
          <w:rFonts w:ascii="Arial" w:hAnsi="Arial" w:cs="Arial"/>
          <w:i/>
          <w:strike/>
          <w:sz w:val="22"/>
          <w:szCs w:val="22"/>
        </w:rPr>
        <w:t>sold data, unless the actual sales price of</w:t>
      </w:r>
      <w:r w:rsidRPr="00D349E0">
        <w:rPr>
          <w:rFonts w:ascii="Arial" w:hAnsi="Arial" w:cs="Arial"/>
          <w:b/>
          <w:bCs/>
          <w:i/>
          <w:strike/>
          <w:sz w:val="22"/>
          <w:szCs w:val="22"/>
        </w:rPr>
        <w:t xml:space="preserve"> </w:t>
      </w:r>
      <w:r w:rsidRPr="00D349E0">
        <w:rPr>
          <w:rFonts w:ascii="Arial" w:hAnsi="Arial" w:cs="Arial"/>
          <w:i/>
          <w:strike/>
          <w:sz w:val="22"/>
          <w:szCs w:val="22"/>
        </w:rPr>
        <w:t>completed transactions is accessible from public records.</w:t>
      </w:r>
    </w:p>
    <w:p w14:paraId="3F73F243" w14:textId="77777777" w:rsidR="004C70EA" w:rsidRPr="00D349E0" w:rsidRDefault="004C70EA" w:rsidP="002238F9">
      <w:pPr>
        <w:pStyle w:val="Pa21"/>
        <w:numPr>
          <w:ilvl w:val="1"/>
          <w:numId w:val="6"/>
        </w:numPr>
        <w:ind w:left="1170"/>
        <w:rPr>
          <w:rFonts w:ascii="Arial" w:hAnsi="Arial" w:cs="Arial"/>
          <w:i/>
          <w:strike/>
          <w:sz w:val="22"/>
          <w:szCs w:val="22"/>
        </w:rPr>
      </w:pPr>
      <w:r w:rsidRPr="00D349E0">
        <w:rPr>
          <w:rFonts w:ascii="Arial" w:hAnsi="Arial" w:cs="Arial"/>
          <w:strike/>
          <w:sz w:val="22"/>
          <w:szCs w:val="22"/>
        </w:rPr>
        <w:t>the compensation offered to other MLS participants</w:t>
      </w:r>
      <w:r w:rsidR="009153E5">
        <w:rPr>
          <w:rFonts w:ascii="Arial" w:hAnsi="Arial" w:cs="Arial"/>
          <w:strike/>
          <w:sz w:val="22"/>
          <w:szCs w:val="22"/>
        </w:rPr>
        <w:t xml:space="preserve"> </w:t>
      </w:r>
      <w:r w:rsidRPr="00D349E0">
        <w:rPr>
          <w:rFonts w:ascii="Arial" w:hAnsi="Arial" w:cs="Arial"/>
          <w:sz w:val="22"/>
          <w:szCs w:val="22"/>
        </w:rPr>
        <w:t>…</w:t>
      </w:r>
      <w:r w:rsidRPr="00D349E0">
        <w:rPr>
          <w:rFonts w:ascii="Arial" w:hAnsi="Arial" w:cs="Arial"/>
          <w:strike/>
          <w:sz w:val="22"/>
          <w:szCs w:val="22"/>
        </w:rPr>
        <w:br/>
      </w:r>
    </w:p>
    <w:p w14:paraId="740204D9" w14:textId="1A7E8894" w:rsidR="0031518F" w:rsidRDefault="0031518F" w:rsidP="00393D4A">
      <w:pPr>
        <w:spacing w:line="254" w:lineRule="auto"/>
        <w:ind w:left="360"/>
        <w:rPr>
          <w:rFonts w:ascii="Arial" w:hAnsi="Arial" w:cs="Arial"/>
          <w:iCs/>
          <w:color w:val="FF0000"/>
          <w:sz w:val="22"/>
          <w:szCs w:val="22"/>
        </w:rPr>
      </w:pPr>
      <w:r w:rsidRPr="0031518F">
        <w:rPr>
          <w:rFonts w:ascii="Arial" w:hAnsi="Arial" w:cs="Arial"/>
          <w:iCs/>
          <w:color w:val="FF0000"/>
          <w:sz w:val="22"/>
          <w:szCs w:val="22"/>
        </w:rPr>
        <w:t xml:space="preserve">(While the typical implementation deadline is March 1, 2022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034A5190" w14:textId="77777777" w:rsidR="0031518F" w:rsidRDefault="0031518F" w:rsidP="00393D4A">
      <w:pPr>
        <w:spacing w:line="254" w:lineRule="auto"/>
        <w:ind w:left="360"/>
        <w:rPr>
          <w:rFonts w:ascii="Arial" w:hAnsi="Arial" w:cs="Arial"/>
          <w:i/>
          <w:iCs/>
          <w:sz w:val="22"/>
          <w:szCs w:val="22"/>
        </w:rPr>
      </w:pPr>
    </w:p>
    <w:p w14:paraId="50689DF8" w14:textId="33C07CF3" w:rsidR="00D349E0" w:rsidRPr="00D349E0" w:rsidRDefault="00E708C6" w:rsidP="0031518F">
      <w:pPr>
        <w:spacing w:line="254" w:lineRule="auto"/>
        <w:ind w:left="360"/>
      </w:pPr>
      <w:r w:rsidRPr="00D349E0">
        <w:rPr>
          <w:rFonts w:ascii="Arial" w:hAnsi="Arial" w:cs="Arial"/>
          <w:i/>
          <w:iCs/>
          <w:sz w:val="22"/>
          <w:szCs w:val="22"/>
        </w:rPr>
        <w:t>d. Any listing displayed on a VOW shall identify the name of the listing firm</w:t>
      </w:r>
      <w:r w:rsidRPr="00D349E0">
        <w:rPr>
          <w:rFonts w:ascii="Arial" w:hAnsi="Arial" w:cs="Arial"/>
          <w:i/>
          <w:iCs/>
          <w:sz w:val="22"/>
          <w:szCs w:val="22"/>
          <w:u w:val="single"/>
        </w:rPr>
        <w:t>,</w:t>
      </w:r>
      <w:r w:rsidR="0073162B" w:rsidRPr="00D349E0">
        <w:rPr>
          <w:rFonts w:ascii="Arial" w:hAnsi="Arial" w:cs="Arial"/>
          <w:i/>
          <w:iCs/>
          <w:sz w:val="22"/>
          <w:szCs w:val="22"/>
          <w:u w:val="single"/>
        </w:rPr>
        <w:t xml:space="preserve"> </w:t>
      </w:r>
      <w:r w:rsidR="0073162B" w:rsidRPr="00D349E0">
        <w:rPr>
          <w:rFonts w:ascii="Arial" w:hAnsi="Arial" w:cs="Arial"/>
          <w:i/>
          <w:iCs/>
          <w:color w:val="000000"/>
          <w:sz w:val="22"/>
          <w:szCs w:val="22"/>
          <w:u w:val="single"/>
        </w:rPr>
        <w:t xml:space="preserve">and the email </w:t>
      </w:r>
      <w:r w:rsidR="006D557A">
        <w:rPr>
          <w:rFonts w:ascii="Arial" w:hAnsi="Arial" w:cs="Arial"/>
          <w:i/>
          <w:iCs/>
          <w:color w:val="000000"/>
          <w:sz w:val="22"/>
          <w:szCs w:val="22"/>
          <w:u w:val="single"/>
        </w:rPr>
        <w:t>or</w:t>
      </w:r>
      <w:r w:rsidR="006D557A" w:rsidRPr="00D349E0">
        <w:rPr>
          <w:rFonts w:ascii="Arial" w:hAnsi="Arial" w:cs="Arial"/>
          <w:i/>
          <w:iCs/>
          <w:color w:val="000000"/>
          <w:sz w:val="22"/>
          <w:szCs w:val="22"/>
          <w:u w:val="single"/>
        </w:rPr>
        <w:t xml:space="preserve"> </w:t>
      </w:r>
      <w:r w:rsidR="0073162B" w:rsidRPr="00D349E0">
        <w:rPr>
          <w:rFonts w:ascii="Arial" w:hAnsi="Arial" w:cs="Arial"/>
          <w:i/>
          <w:iCs/>
          <w:color w:val="000000"/>
          <w:sz w:val="22"/>
          <w:szCs w:val="22"/>
          <w:u w:val="single"/>
        </w:rPr>
        <w:t>phone number provided by the listing participant</w:t>
      </w:r>
      <w:r w:rsidRPr="00D349E0">
        <w:rPr>
          <w:rFonts w:ascii="Arial" w:hAnsi="Arial" w:cs="Arial"/>
          <w:i/>
          <w:iCs/>
          <w:sz w:val="22"/>
          <w:szCs w:val="22"/>
        </w:rPr>
        <w:t xml:space="preserve"> in a reasonably prominent location and in typeface not smaller than the median typeface used in the display of listing data. </w:t>
      </w:r>
      <w:bookmarkStart w:id="2" w:name="_Hlk89871517"/>
      <w:r w:rsidR="00C85025" w:rsidRPr="00D349E0">
        <w:rPr>
          <w:rFonts w:ascii="Arial" w:hAnsi="Arial" w:cs="Arial"/>
          <w:b/>
          <w:bCs/>
          <w:i/>
          <w:iCs/>
          <w:color w:val="FF0000"/>
          <w:sz w:val="22"/>
          <w:szCs w:val="22"/>
        </w:rPr>
        <w:t>O</w:t>
      </w:r>
      <w:bookmarkEnd w:id="2"/>
      <w:r w:rsidR="0050333E">
        <w:rPr>
          <w:rFonts w:ascii="Arial" w:hAnsi="Arial" w:cs="Arial"/>
          <w:b/>
          <w:bCs/>
          <w:i/>
          <w:iCs/>
          <w:color w:val="FF0000"/>
          <w:sz w:val="22"/>
          <w:szCs w:val="22"/>
        </w:rPr>
        <w:br/>
      </w:r>
      <w:r w:rsidR="0050333E">
        <w:rPr>
          <w:rFonts w:ascii="Arial" w:hAnsi="Arial" w:cs="Arial"/>
          <w:b/>
          <w:bCs/>
          <w:i/>
          <w:iCs/>
          <w:color w:val="FF0000"/>
          <w:sz w:val="22"/>
          <w:szCs w:val="22"/>
        </w:rPr>
        <w:br/>
      </w:r>
    </w:p>
    <w:p w14:paraId="588123DC" w14:textId="77777777" w:rsidR="00441282" w:rsidRPr="00D349E0" w:rsidRDefault="00441282" w:rsidP="002238F9">
      <w:pPr>
        <w:numPr>
          <w:ilvl w:val="0"/>
          <w:numId w:val="1"/>
        </w:numPr>
        <w:rPr>
          <w:rFonts w:ascii="Arial" w:hAnsi="Arial" w:cs="Arial"/>
          <w:b/>
          <w:sz w:val="22"/>
          <w:szCs w:val="22"/>
        </w:rPr>
      </w:pPr>
      <w:r w:rsidRPr="00D349E0">
        <w:rPr>
          <w:rFonts w:ascii="Arial" w:hAnsi="Arial" w:cs="Arial"/>
          <w:b/>
          <w:sz w:val="22"/>
          <w:szCs w:val="22"/>
        </w:rPr>
        <w:t>(New) MLS Policy Statement 8.4, Services Advertised as “Free”</w:t>
      </w:r>
    </w:p>
    <w:p w14:paraId="6D4996EB" w14:textId="1B36FCAB" w:rsidR="00441282" w:rsidRPr="00D349E0" w:rsidRDefault="00441282" w:rsidP="00441282">
      <w:pPr>
        <w:pStyle w:val="Default"/>
        <w:spacing w:line="201" w:lineRule="atLeast"/>
        <w:ind w:left="360"/>
        <w:rPr>
          <w:rFonts w:ascii="Arial" w:hAnsi="Arial" w:cs="Arial"/>
          <w:b/>
          <w:i/>
          <w:sz w:val="22"/>
          <w:szCs w:val="22"/>
        </w:rPr>
      </w:pPr>
      <w:r w:rsidRPr="00D349E0">
        <w:rPr>
          <w:rFonts w:ascii="Arial" w:hAnsi="Arial" w:cs="Arial"/>
          <w:bCs/>
          <w:iCs/>
          <w:sz w:val="22"/>
          <w:szCs w:val="22"/>
        </w:rPr>
        <w:t xml:space="preserve">MLS </w:t>
      </w:r>
      <w:r w:rsidR="00EC0608">
        <w:rPr>
          <w:rFonts w:ascii="Arial" w:hAnsi="Arial" w:cs="Arial"/>
          <w:bCs/>
          <w:iCs/>
          <w:sz w:val="22"/>
          <w:szCs w:val="22"/>
        </w:rPr>
        <w:t>p</w:t>
      </w:r>
      <w:r w:rsidRPr="00D349E0">
        <w:rPr>
          <w:rFonts w:ascii="Arial" w:hAnsi="Arial" w:cs="Arial"/>
          <w:bCs/>
          <w:iCs/>
          <w:sz w:val="22"/>
          <w:szCs w:val="22"/>
        </w:rPr>
        <w:t xml:space="preserve">articipants and </w:t>
      </w:r>
      <w:r w:rsidR="00EC0608">
        <w:rPr>
          <w:rFonts w:ascii="Arial" w:hAnsi="Arial" w:cs="Arial"/>
          <w:bCs/>
          <w:iCs/>
          <w:sz w:val="22"/>
          <w:szCs w:val="22"/>
        </w:rPr>
        <w:t>s</w:t>
      </w:r>
      <w:r w:rsidRPr="00D349E0">
        <w:rPr>
          <w:rFonts w:ascii="Arial" w:hAnsi="Arial" w:cs="Arial"/>
          <w:bCs/>
          <w:iCs/>
          <w:sz w:val="22"/>
          <w:szCs w:val="22"/>
        </w:rPr>
        <w:t xml:space="preserve">ubscribers must not represent that their brokerage services to a client or customer are free or available at no cost to their clients, unless the </w:t>
      </w:r>
      <w:r w:rsidR="00EC0608">
        <w:rPr>
          <w:rFonts w:ascii="Arial" w:hAnsi="Arial" w:cs="Arial"/>
          <w:bCs/>
          <w:iCs/>
          <w:sz w:val="22"/>
          <w:szCs w:val="22"/>
        </w:rPr>
        <w:t>p</w:t>
      </w:r>
      <w:r w:rsidRPr="00D349E0">
        <w:rPr>
          <w:rFonts w:ascii="Arial" w:hAnsi="Arial" w:cs="Arial"/>
          <w:bCs/>
          <w:iCs/>
          <w:sz w:val="22"/>
          <w:szCs w:val="22"/>
        </w:rPr>
        <w:t xml:space="preserve">articipant or </w:t>
      </w:r>
      <w:r w:rsidR="00DE6678">
        <w:rPr>
          <w:rFonts w:ascii="Arial" w:hAnsi="Arial" w:cs="Arial"/>
          <w:bCs/>
          <w:iCs/>
          <w:sz w:val="22"/>
          <w:szCs w:val="22"/>
        </w:rPr>
        <w:t>s</w:t>
      </w:r>
      <w:r w:rsidRPr="00D349E0">
        <w:rPr>
          <w:rFonts w:ascii="Arial" w:hAnsi="Arial" w:cs="Arial"/>
          <w:bCs/>
          <w:iCs/>
          <w:sz w:val="22"/>
          <w:szCs w:val="22"/>
        </w:rPr>
        <w:t>ubscriber will receive no financial compensation from any source for those services.</w:t>
      </w:r>
      <w:r w:rsidRPr="00D349E0">
        <w:rPr>
          <w:rFonts w:ascii="Arial" w:hAnsi="Arial" w:cs="Arial"/>
          <w:b/>
          <w:color w:val="FF0000"/>
          <w:sz w:val="22"/>
          <w:szCs w:val="22"/>
        </w:rPr>
        <w:t xml:space="preserve"> </w:t>
      </w:r>
      <w:bookmarkStart w:id="3" w:name="_Hlk89869096"/>
      <w:r w:rsidRPr="00D349E0">
        <w:rPr>
          <w:rFonts w:ascii="Arial" w:hAnsi="Arial" w:cs="Arial"/>
          <w:b/>
          <w:color w:val="FF0000"/>
          <w:sz w:val="22"/>
          <w:szCs w:val="22"/>
        </w:rPr>
        <w:t>M</w:t>
      </w:r>
      <w:bookmarkEnd w:id="3"/>
    </w:p>
    <w:p w14:paraId="3B2FBA12" w14:textId="77777777" w:rsidR="00441282" w:rsidRPr="00D349E0" w:rsidRDefault="00441282" w:rsidP="00441282">
      <w:pPr>
        <w:pStyle w:val="Default"/>
        <w:spacing w:line="201" w:lineRule="atLeast"/>
        <w:ind w:left="360"/>
        <w:rPr>
          <w:rFonts w:ascii="Arial" w:hAnsi="Arial" w:cs="Arial"/>
          <w:b/>
          <w:color w:val="FF0000"/>
          <w:sz w:val="22"/>
          <w:szCs w:val="22"/>
          <w:u w:val="single"/>
        </w:rPr>
      </w:pPr>
    </w:p>
    <w:p w14:paraId="31021264" w14:textId="77777777" w:rsidR="00441282" w:rsidRPr="00D349E0" w:rsidRDefault="00441282" w:rsidP="002238F9">
      <w:pPr>
        <w:pStyle w:val="Default"/>
        <w:numPr>
          <w:ilvl w:val="0"/>
          <w:numId w:val="2"/>
        </w:numPr>
        <w:spacing w:line="201" w:lineRule="atLeast"/>
        <w:rPr>
          <w:rFonts w:ascii="Arial" w:hAnsi="Arial" w:cs="Arial"/>
          <w:b/>
          <w:sz w:val="22"/>
          <w:szCs w:val="22"/>
        </w:rPr>
      </w:pPr>
      <w:r w:rsidRPr="00D349E0">
        <w:rPr>
          <w:rFonts w:ascii="Arial" w:hAnsi="Arial" w:cs="Arial"/>
          <w:b/>
          <w:sz w:val="22"/>
          <w:szCs w:val="22"/>
        </w:rPr>
        <w:t>(</w:t>
      </w:r>
      <w:r w:rsidRPr="00D349E0">
        <w:rPr>
          <w:rFonts w:ascii="Arial" w:hAnsi="Arial" w:cs="Arial"/>
          <w:b/>
          <w:color w:val="auto"/>
          <w:sz w:val="22"/>
          <w:szCs w:val="22"/>
        </w:rPr>
        <w:t>New</w:t>
      </w:r>
      <w:r w:rsidRPr="00D349E0">
        <w:rPr>
          <w:rFonts w:ascii="Arial" w:hAnsi="Arial" w:cs="Arial"/>
          <w:b/>
          <w:sz w:val="22"/>
          <w:szCs w:val="22"/>
        </w:rPr>
        <w:t xml:space="preserve">) MLS Policy Statement 8.5, Non-filtering of Listings </w:t>
      </w:r>
    </w:p>
    <w:p w14:paraId="3788559A" w14:textId="62E17C07" w:rsidR="00C949D5" w:rsidRPr="00D349E0" w:rsidRDefault="00441282" w:rsidP="00441282">
      <w:pPr>
        <w:ind w:left="360"/>
        <w:rPr>
          <w:rFonts w:ascii="Arial" w:hAnsi="Arial" w:cs="Arial"/>
          <w:b/>
          <w:color w:val="FF0000"/>
          <w:sz w:val="22"/>
          <w:szCs w:val="22"/>
        </w:rPr>
      </w:pPr>
      <w:r w:rsidRPr="00D349E0">
        <w:rPr>
          <w:rFonts w:ascii="Arial" w:hAnsi="Arial" w:cs="Arial"/>
          <w:sz w:val="22"/>
          <w:szCs w:val="22"/>
        </w:rPr>
        <w:t xml:space="preserve">MLS </w:t>
      </w:r>
      <w:r w:rsidR="00EC0608">
        <w:rPr>
          <w:rFonts w:ascii="Arial" w:hAnsi="Arial" w:cs="Arial"/>
          <w:sz w:val="22"/>
          <w:szCs w:val="22"/>
        </w:rPr>
        <w:t>p</w:t>
      </w:r>
      <w:r w:rsidRPr="00D349E0">
        <w:rPr>
          <w:rFonts w:ascii="Arial" w:hAnsi="Arial" w:cs="Arial"/>
          <w:sz w:val="22"/>
          <w:szCs w:val="22"/>
        </w:rPr>
        <w:t xml:space="preserve">articipants and </w:t>
      </w:r>
      <w:r w:rsidR="00883B42">
        <w:rPr>
          <w:rFonts w:ascii="Arial" w:hAnsi="Arial" w:cs="Arial"/>
          <w:sz w:val="22"/>
          <w:szCs w:val="22"/>
        </w:rPr>
        <w:t>s</w:t>
      </w:r>
      <w:r w:rsidRPr="00D349E0">
        <w:rPr>
          <w:rFonts w:ascii="Arial" w:hAnsi="Arial" w:cs="Arial"/>
          <w:sz w:val="22"/>
          <w:szCs w:val="22"/>
        </w:rPr>
        <w:t>ubscribers must not, and MLSs must not enable the ability to, filter out or restrict MLS listings that are searchable by and displayed to consumers based on the level of compensation offered to the cooperating broker or the name of a brokerage or agent</w:t>
      </w:r>
      <w:r w:rsidRPr="00D349E0">
        <w:rPr>
          <w:rFonts w:ascii="Arial" w:hAnsi="Arial" w:cs="Arial"/>
          <w:color w:val="231B18"/>
          <w:sz w:val="22"/>
          <w:szCs w:val="22"/>
        </w:rPr>
        <w:t xml:space="preserve">. </w:t>
      </w:r>
      <w:bookmarkStart w:id="4" w:name="_Hlk89869130"/>
      <w:r w:rsidRPr="00D349E0">
        <w:rPr>
          <w:rFonts w:ascii="Arial" w:hAnsi="Arial" w:cs="Arial"/>
          <w:b/>
          <w:bCs/>
          <w:color w:val="FF0000"/>
          <w:sz w:val="22"/>
          <w:szCs w:val="22"/>
        </w:rPr>
        <w:t>M</w:t>
      </w:r>
      <w:bookmarkEnd w:id="4"/>
    </w:p>
    <w:p w14:paraId="0448D588" w14:textId="77777777" w:rsidR="00441282" w:rsidRPr="00D349E0" w:rsidRDefault="00441282" w:rsidP="00BA4A82">
      <w:pPr>
        <w:ind w:left="360"/>
        <w:rPr>
          <w:rFonts w:ascii="Arial" w:hAnsi="Arial" w:cs="Arial"/>
          <w:b/>
          <w:color w:val="FF0000"/>
          <w:sz w:val="22"/>
          <w:szCs w:val="22"/>
        </w:rPr>
      </w:pPr>
    </w:p>
    <w:p w14:paraId="79347B0D" w14:textId="77777777" w:rsidR="00441282" w:rsidRPr="00D349E0" w:rsidRDefault="00441282" w:rsidP="002238F9">
      <w:pPr>
        <w:numPr>
          <w:ilvl w:val="0"/>
          <w:numId w:val="1"/>
        </w:numPr>
        <w:rPr>
          <w:rFonts w:ascii="Arial" w:hAnsi="Arial" w:cs="Arial"/>
          <w:b/>
          <w:sz w:val="22"/>
          <w:szCs w:val="22"/>
          <w:u w:val="single"/>
        </w:rPr>
      </w:pPr>
      <w:bookmarkStart w:id="5" w:name="_Hlk89425204"/>
      <w:r w:rsidRPr="00D349E0">
        <w:rPr>
          <w:rFonts w:ascii="Arial" w:hAnsi="Arial" w:cs="Arial"/>
          <w:b/>
          <w:sz w:val="22"/>
          <w:szCs w:val="22"/>
        </w:rPr>
        <w:t>(New) MLS Policy Statement 8.6, One Data Source</w:t>
      </w:r>
    </w:p>
    <w:bookmarkEnd w:id="5"/>
    <w:p w14:paraId="38C0B2EE" w14:textId="77777777" w:rsidR="0031518F" w:rsidRDefault="0031518F" w:rsidP="00441282">
      <w:pPr>
        <w:ind w:left="360"/>
        <w:rPr>
          <w:rFonts w:ascii="Arial" w:hAnsi="Arial" w:cs="Arial"/>
          <w:sz w:val="22"/>
          <w:szCs w:val="22"/>
        </w:rPr>
      </w:pPr>
    </w:p>
    <w:p w14:paraId="4C90B97A" w14:textId="6CB38A42" w:rsidR="0031518F" w:rsidRDefault="0031518F" w:rsidP="00441282">
      <w:pPr>
        <w:ind w:left="360"/>
        <w:rPr>
          <w:rFonts w:ascii="Arial" w:hAnsi="Arial" w:cs="Arial"/>
          <w:sz w:val="22"/>
          <w:szCs w:val="22"/>
        </w:rPr>
      </w:pPr>
      <w:r w:rsidRPr="0031518F">
        <w:rPr>
          <w:rFonts w:ascii="Arial" w:hAnsi="Arial" w:cs="Arial"/>
          <w:iCs/>
          <w:color w:val="FF0000"/>
          <w:sz w:val="22"/>
          <w:szCs w:val="22"/>
        </w:rPr>
        <w:t xml:space="preserve">(While the typical implementation deadline is March 1, 2022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1211CCA8" w14:textId="77777777" w:rsidR="0031518F" w:rsidRDefault="0031518F" w:rsidP="00441282">
      <w:pPr>
        <w:ind w:left="360"/>
        <w:rPr>
          <w:rFonts w:ascii="Arial" w:hAnsi="Arial" w:cs="Arial"/>
          <w:sz w:val="22"/>
          <w:szCs w:val="22"/>
        </w:rPr>
      </w:pPr>
    </w:p>
    <w:p w14:paraId="6D6187D9" w14:textId="539D1739"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MLSs must offer a </w:t>
      </w:r>
      <w:r w:rsidR="00EC0608">
        <w:rPr>
          <w:rFonts w:ascii="Arial" w:hAnsi="Arial" w:cs="Arial"/>
          <w:sz w:val="22"/>
          <w:szCs w:val="22"/>
        </w:rPr>
        <w:t>p</w:t>
      </w:r>
      <w:r w:rsidRPr="00D349E0">
        <w:rPr>
          <w:rFonts w:ascii="Arial" w:hAnsi="Arial" w:cs="Arial"/>
          <w:sz w:val="22"/>
          <w:szCs w:val="22"/>
        </w:rPr>
        <w:t xml:space="preserve">articipant a single data feed in accordance with a </w:t>
      </w:r>
      <w:r w:rsidR="00EC0608">
        <w:rPr>
          <w:rFonts w:ascii="Arial" w:hAnsi="Arial" w:cs="Arial"/>
          <w:sz w:val="22"/>
          <w:szCs w:val="22"/>
        </w:rPr>
        <w:t>p</w:t>
      </w:r>
      <w:r w:rsidRPr="00D349E0">
        <w:rPr>
          <w:rFonts w:ascii="Arial" w:hAnsi="Arial" w:cs="Arial"/>
          <w:sz w:val="22"/>
          <w:szCs w:val="22"/>
        </w:rPr>
        <w:t xml:space="preserve">articipant’s licensed authorized uses.    </w:t>
      </w:r>
    </w:p>
    <w:p w14:paraId="51A57FD9" w14:textId="77777777" w:rsidR="00441282" w:rsidRPr="00D349E0" w:rsidRDefault="00441282" w:rsidP="00441282">
      <w:pPr>
        <w:ind w:left="360"/>
        <w:rPr>
          <w:rFonts w:ascii="Arial" w:hAnsi="Arial" w:cs="Arial"/>
          <w:sz w:val="22"/>
          <w:szCs w:val="22"/>
        </w:rPr>
      </w:pPr>
    </w:p>
    <w:p w14:paraId="552696F3" w14:textId="131E9DE3" w:rsidR="00441282" w:rsidRDefault="00441282" w:rsidP="00441282">
      <w:pPr>
        <w:ind w:left="360"/>
        <w:rPr>
          <w:rFonts w:ascii="Arial" w:hAnsi="Arial" w:cs="Arial"/>
          <w:b/>
          <w:color w:val="FF0000"/>
          <w:sz w:val="22"/>
          <w:szCs w:val="22"/>
        </w:rPr>
      </w:pPr>
      <w:r w:rsidRPr="00D349E0">
        <w:rPr>
          <w:rFonts w:ascii="Arial" w:hAnsi="Arial" w:cs="Arial"/>
          <w:sz w:val="22"/>
          <w:szCs w:val="22"/>
        </w:rPr>
        <w:t xml:space="preserve">At the request of a </w:t>
      </w:r>
      <w:r w:rsidR="00EC0608">
        <w:rPr>
          <w:rFonts w:ascii="Arial" w:hAnsi="Arial" w:cs="Arial"/>
          <w:sz w:val="22"/>
          <w:szCs w:val="22"/>
        </w:rPr>
        <w:t>p</w:t>
      </w:r>
      <w:r w:rsidRPr="00D349E0">
        <w:rPr>
          <w:rFonts w:ascii="Arial" w:hAnsi="Arial" w:cs="Arial"/>
          <w:sz w:val="22"/>
          <w:szCs w:val="22"/>
        </w:rPr>
        <w:t xml:space="preserve">articipant, MLS must provide the single data feed for that </w:t>
      </w:r>
      <w:r w:rsidR="00EC0608">
        <w:rPr>
          <w:rFonts w:ascii="Arial" w:hAnsi="Arial" w:cs="Arial"/>
          <w:sz w:val="22"/>
          <w:szCs w:val="22"/>
        </w:rPr>
        <w:t>p</w:t>
      </w:r>
      <w:r w:rsidRPr="00D349E0">
        <w:rPr>
          <w:rFonts w:ascii="Arial" w:hAnsi="Arial" w:cs="Arial"/>
          <w:sz w:val="22"/>
          <w:szCs w:val="22"/>
        </w:rPr>
        <w:t xml:space="preserve">articipant’s licensed uses to that </w:t>
      </w:r>
      <w:r w:rsidR="00EC0608">
        <w:rPr>
          <w:rFonts w:ascii="Arial" w:hAnsi="Arial" w:cs="Arial"/>
          <w:sz w:val="22"/>
          <w:szCs w:val="22"/>
        </w:rPr>
        <w:t>p</w:t>
      </w:r>
      <w:r w:rsidRPr="00D349E0">
        <w:rPr>
          <w:rFonts w:ascii="Arial" w:hAnsi="Arial" w:cs="Arial"/>
          <w:sz w:val="22"/>
          <w:szCs w:val="22"/>
        </w:rPr>
        <w:t xml:space="preserve">articipant’s designee.  The designee may use the single data feed only to facilitate that </w:t>
      </w:r>
      <w:r w:rsidR="00EC0608">
        <w:rPr>
          <w:rFonts w:ascii="Arial" w:hAnsi="Arial" w:cs="Arial"/>
          <w:sz w:val="22"/>
          <w:szCs w:val="22"/>
        </w:rPr>
        <w:t>p</w:t>
      </w:r>
      <w:r w:rsidRPr="00D349E0">
        <w:rPr>
          <w:rFonts w:ascii="Arial" w:hAnsi="Arial" w:cs="Arial"/>
          <w:sz w:val="22"/>
          <w:szCs w:val="22"/>
        </w:rPr>
        <w:t xml:space="preserve">articipant’s licensed uses on behalf of that </w:t>
      </w:r>
      <w:r w:rsidR="00EC0608">
        <w:rPr>
          <w:rFonts w:ascii="Arial" w:hAnsi="Arial" w:cs="Arial"/>
          <w:sz w:val="22"/>
          <w:szCs w:val="22"/>
        </w:rPr>
        <w:t>p</w:t>
      </w:r>
      <w:r w:rsidRPr="00D349E0">
        <w:rPr>
          <w:rFonts w:ascii="Arial" w:hAnsi="Arial" w:cs="Arial"/>
          <w:sz w:val="22"/>
          <w:szCs w:val="22"/>
        </w:rPr>
        <w:t xml:space="preserve">articipant. </w:t>
      </w:r>
      <w:r w:rsidRPr="00D349E0">
        <w:rPr>
          <w:rFonts w:ascii="Arial" w:hAnsi="Arial" w:cs="Arial"/>
          <w:b/>
          <w:color w:val="FF0000"/>
          <w:sz w:val="22"/>
          <w:szCs w:val="22"/>
        </w:rPr>
        <w:t>M</w:t>
      </w:r>
    </w:p>
    <w:p w14:paraId="189BDBD8" w14:textId="2E4DA0CC" w:rsidR="00C46694" w:rsidRDefault="00C46694" w:rsidP="00441282">
      <w:pPr>
        <w:ind w:left="360"/>
        <w:rPr>
          <w:rFonts w:ascii="Arial" w:hAnsi="Arial" w:cs="Arial"/>
          <w:b/>
          <w:color w:val="FF0000"/>
          <w:sz w:val="22"/>
          <w:szCs w:val="22"/>
        </w:rPr>
      </w:pPr>
    </w:p>
    <w:p w14:paraId="47E659D7" w14:textId="77777777" w:rsidR="00380A7F" w:rsidRPr="00D349E0" w:rsidRDefault="00380A7F" w:rsidP="00380A7F">
      <w:pPr>
        <w:spacing w:line="254" w:lineRule="auto"/>
        <w:ind w:left="360"/>
        <w:rPr>
          <w:rFonts w:ascii="Arial" w:hAnsi="Arial" w:cs="Arial"/>
          <w:b/>
          <w:bCs/>
          <w:iCs/>
          <w:color w:val="FF0000"/>
          <w:sz w:val="22"/>
          <w:szCs w:val="22"/>
        </w:rPr>
      </w:pPr>
      <w:r w:rsidRPr="00C76A3D">
        <w:rPr>
          <w:rFonts w:ascii="Arial" w:hAnsi="Arial" w:cs="Arial"/>
          <w:iCs/>
          <w:sz w:val="22"/>
          <w:szCs w:val="22"/>
        </w:rPr>
        <w:t xml:space="preserve">Note: </w:t>
      </w:r>
      <w:r>
        <w:rPr>
          <w:rFonts w:ascii="Arial" w:hAnsi="Arial" w:cs="Arial"/>
          <w:iCs/>
          <w:sz w:val="22"/>
          <w:szCs w:val="22"/>
        </w:rPr>
        <w:t>While the typical i</w:t>
      </w:r>
      <w:r w:rsidRPr="00C77382">
        <w:rPr>
          <w:rFonts w:ascii="Arial" w:hAnsi="Arial" w:cs="Arial"/>
          <w:iCs/>
          <w:sz w:val="22"/>
          <w:szCs w:val="22"/>
        </w:rPr>
        <w:t xml:space="preserve">mplementation </w:t>
      </w:r>
      <w:r>
        <w:rPr>
          <w:rFonts w:ascii="Arial" w:hAnsi="Arial" w:cs="Arial"/>
          <w:iCs/>
          <w:sz w:val="22"/>
          <w:szCs w:val="22"/>
        </w:rPr>
        <w:t xml:space="preserve">deadline is March 1, 2022 for local adoption of MLS Policy Changes, the deadline for implementation </w:t>
      </w:r>
      <w:r w:rsidRPr="00C77382">
        <w:rPr>
          <w:rFonts w:ascii="Arial" w:hAnsi="Arial" w:cs="Arial"/>
          <w:iCs/>
          <w:sz w:val="22"/>
          <w:szCs w:val="22"/>
        </w:rPr>
        <w:t>of this policy has been extended to September 1, 2022.</w:t>
      </w:r>
    </w:p>
    <w:p w14:paraId="4479D06D" w14:textId="77777777" w:rsidR="00441282" w:rsidRPr="00D349E0" w:rsidRDefault="00441282" w:rsidP="00441282">
      <w:pPr>
        <w:rPr>
          <w:rFonts w:ascii="Arial" w:hAnsi="Arial" w:cs="Arial"/>
          <w:b/>
          <w:sz w:val="22"/>
          <w:szCs w:val="22"/>
        </w:rPr>
      </w:pPr>
    </w:p>
    <w:p w14:paraId="103DD1DF" w14:textId="77777777" w:rsidR="00441282" w:rsidRPr="00D349E0" w:rsidRDefault="00441282" w:rsidP="002238F9">
      <w:pPr>
        <w:numPr>
          <w:ilvl w:val="0"/>
          <w:numId w:val="1"/>
        </w:numPr>
        <w:rPr>
          <w:rFonts w:ascii="Arial" w:hAnsi="Arial" w:cs="Arial"/>
          <w:b/>
          <w:sz w:val="22"/>
          <w:szCs w:val="22"/>
        </w:rPr>
      </w:pPr>
      <w:r w:rsidRPr="00D349E0">
        <w:rPr>
          <w:rFonts w:ascii="Arial" w:hAnsi="Arial" w:cs="Arial"/>
          <w:b/>
          <w:sz w:val="22"/>
          <w:szCs w:val="22"/>
        </w:rPr>
        <w:t>(New) MLS Policy Statement 8.7, Brokerage Back Office Feed</w:t>
      </w:r>
    </w:p>
    <w:p w14:paraId="2EA91D8C" w14:textId="22047BB8"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That </w:t>
      </w:r>
      <w:r w:rsidR="00EC0608">
        <w:rPr>
          <w:rFonts w:ascii="Arial" w:hAnsi="Arial" w:cs="Arial"/>
          <w:sz w:val="22"/>
          <w:szCs w:val="22"/>
        </w:rPr>
        <w:t>p</w:t>
      </w:r>
      <w:r w:rsidRPr="00D349E0">
        <w:rPr>
          <w:rFonts w:ascii="Arial" w:hAnsi="Arial" w:cs="Arial"/>
          <w:sz w:val="22"/>
          <w:szCs w:val="22"/>
        </w:rPr>
        <w:t xml:space="preserve">articipants are entitled to use, and MLSs must provide to </w:t>
      </w:r>
      <w:r w:rsidR="00EC0608">
        <w:rPr>
          <w:rFonts w:ascii="Arial" w:hAnsi="Arial" w:cs="Arial"/>
          <w:sz w:val="22"/>
          <w:szCs w:val="22"/>
        </w:rPr>
        <w:t>p</w:t>
      </w:r>
      <w:r w:rsidRPr="00D349E0">
        <w:rPr>
          <w:rFonts w:ascii="Arial" w:hAnsi="Arial" w:cs="Arial"/>
          <w:sz w:val="22"/>
          <w:szCs w:val="22"/>
        </w:rPr>
        <w:t>articipants, the BBO Data, for BBO Use subject to the Terms below:</w:t>
      </w:r>
    </w:p>
    <w:p w14:paraId="28DF4CEB" w14:textId="77777777" w:rsidR="00441282" w:rsidRPr="00D349E0" w:rsidRDefault="00441282" w:rsidP="00441282">
      <w:pPr>
        <w:ind w:left="360"/>
        <w:rPr>
          <w:rFonts w:ascii="Arial" w:hAnsi="Arial" w:cs="Arial"/>
          <w:sz w:val="22"/>
          <w:szCs w:val="22"/>
        </w:rPr>
      </w:pPr>
    </w:p>
    <w:p w14:paraId="19968AAC" w14:textId="7063FABC"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“BBO Data” means all real property listing and roster information in the MLS database, including all listings of all </w:t>
      </w:r>
      <w:r w:rsidR="00EC0608">
        <w:rPr>
          <w:rFonts w:ascii="Arial" w:hAnsi="Arial" w:cs="Arial"/>
          <w:sz w:val="22"/>
          <w:szCs w:val="22"/>
        </w:rPr>
        <w:t>p</w:t>
      </w:r>
      <w:r w:rsidRPr="00D349E0">
        <w:rPr>
          <w:rFonts w:ascii="Arial" w:hAnsi="Arial" w:cs="Arial"/>
          <w:sz w:val="22"/>
          <w:szCs w:val="22"/>
        </w:rPr>
        <w:t>articipants, but excludes (</w:t>
      </w:r>
      <w:proofErr w:type="spellStart"/>
      <w:r w:rsidRPr="00D349E0">
        <w:rPr>
          <w:rFonts w:ascii="Arial" w:hAnsi="Arial" w:cs="Arial"/>
          <w:sz w:val="22"/>
          <w:szCs w:val="22"/>
        </w:rPr>
        <w:t>i</w:t>
      </w:r>
      <w:proofErr w:type="spellEnd"/>
      <w:r w:rsidRPr="00D349E0">
        <w:rPr>
          <w:rFonts w:ascii="Arial" w:hAnsi="Arial" w:cs="Arial"/>
          <w:sz w:val="22"/>
          <w:szCs w:val="22"/>
        </w:rPr>
        <w:t xml:space="preserve">) MLS only fields (those fields only </w:t>
      </w:r>
      <w:r w:rsidRPr="00D349E0">
        <w:rPr>
          <w:rFonts w:ascii="Arial" w:hAnsi="Arial" w:cs="Arial"/>
          <w:sz w:val="22"/>
          <w:szCs w:val="22"/>
        </w:rPr>
        <w:lastRenderedPageBreak/>
        <w:t xml:space="preserve">visible to MLS staff and the listing </w:t>
      </w:r>
      <w:r w:rsidR="00EC0608">
        <w:rPr>
          <w:rFonts w:ascii="Arial" w:hAnsi="Arial" w:cs="Arial"/>
          <w:sz w:val="22"/>
          <w:szCs w:val="22"/>
        </w:rPr>
        <w:t>p</w:t>
      </w:r>
      <w:r w:rsidRPr="00D349E0">
        <w:rPr>
          <w:rFonts w:ascii="Arial" w:hAnsi="Arial" w:cs="Arial"/>
          <w:sz w:val="22"/>
          <w:szCs w:val="22"/>
        </w:rPr>
        <w:t xml:space="preserve">articipant), and (ii) fields and content to which MLS does not have a sufficient license for use in the Brokerage Back Office Feed. </w:t>
      </w:r>
    </w:p>
    <w:p w14:paraId="3F529DE9" w14:textId="77777777" w:rsidR="00441282" w:rsidRPr="00D349E0" w:rsidRDefault="00441282" w:rsidP="00441282">
      <w:pPr>
        <w:ind w:left="360"/>
        <w:rPr>
          <w:rFonts w:ascii="Arial" w:hAnsi="Arial" w:cs="Arial"/>
          <w:sz w:val="22"/>
          <w:szCs w:val="22"/>
        </w:rPr>
      </w:pPr>
    </w:p>
    <w:p w14:paraId="5F80BAAD" w14:textId="20DC5484"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“BBO Use” means use of BBO Data by </w:t>
      </w:r>
      <w:r w:rsidR="00EC0608">
        <w:rPr>
          <w:rFonts w:ascii="Arial" w:hAnsi="Arial" w:cs="Arial"/>
          <w:sz w:val="22"/>
          <w:szCs w:val="22"/>
        </w:rPr>
        <w:t>p</w:t>
      </w:r>
      <w:r w:rsidRPr="00D349E0">
        <w:rPr>
          <w:rFonts w:ascii="Arial" w:hAnsi="Arial" w:cs="Arial"/>
          <w:sz w:val="22"/>
          <w:szCs w:val="22"/>
        </w:rPr>
        <w:t xml:space="preserve">articipant and </w:t>
      </w:r>
      <w:r w:rsidR="00883B42">
        <w:rPr>
          <w:rFonts w:ascii="Arial" w:hAnsi="Arial" w:cs="Arial"/>
          <w:sz w:val="22"/>
          <w:szCs w:val="22"/>
        </w:rPr>
        <w:t>s</w:t>
      </w:r>
      <w:r w:rsidRPr="00D349E0">
        <w:rPr>
          <w:rFonts w:ascii="Arial" w:hAnsi="Arial" w:cs="Arial"/>
          <w:sz w:val="22"/>
          <w:szCs w:val="22"/>
        </w:rPr>
        <w:t xml:space="preserve">ubscribers affiliated with the </w:t>
      </w:r>
      <w:r w:rsidR="00EC0608">
        <w:rPr>
          <w:rFonts w:ascii="Arial" w:hAnsi="Arial" w:cs="Arial"/>
          <w:sz w:val="22"/>
          <w:szCs w:val="22"/>
        </w:rPr>
        <w:t>p</w:t>
      </w:r>
      <w:r w:rsidRPr="00D349E0">
        <w:rPr>
          <w:rFonts w:ascii="Arial" w:hAnsi="Arial" w:cs="Arial"/>
          <w:sz w:val="22"/>
          <w:szCs w:val="22"/>
        </w:rPr>
        <w:t>articipant for the following purposes:</w:t>
      </w:r>
    </w:p>
    <w:p w14:paraId="6886602D" w14:textId="77777777" w:rsidR="00441282" w:rsidRPr="00D349E0" w:rsidRDefault="00441282" w:rsidP="00441282">
      <w:pPr>
        <w:ind w:left="360"/>
        <w:rPr>
          <w:rFonts w:ascii="Arial" w:hAnsi="Arial" w:cs="Arial"/>
          <w:sz w:val="22"/>
          <w:szCs w:val="22"/>
        </w:rPr>
      </w:pPr>
    </w:p>
    <w:p w14:paraId="06249CAE" w14:textId="6BAC6AF1" w:rsidR="00441282" w:rsidRPr="00D349E0" w:rsidRDefault="00441282" w:rsidP="002238F9">
      <w:pPr>
        <w:numPr>
          <w:ilvl w:val="0"/>
          <w:numId w:val="5"/>
        </w:numPr>
        <w:ind w:left="900"/>
        <w:rPr>
          <w:rFonts w:ascii="Arial" w:hAnsi="Arial" w:cs="Arial"/>
          <w:sz w:val="22"/>
          <w:szCs w:val="22"/>
          <w:u w:val="single"/>
        </w:rPr>
      </w:pPr>
      <w:r w:rsidRPr="00D349E0">
        <w:rPr>
          <w:rFonts w:ascii="Arial" w:hAnsi="Arial" w:cs="Arial"/>
          <w:sz w:val="22"/>
          <w:szCs w:val="22"/>
        </w:rPr>
        <w:t xml:space="preserve">Brokerage management systems that only expose BBO Data to </w:t>
      </w:r>
      <w:r w:rsidR="00EC0608">
        <w:rPr>
          <w:rFonts w:ascii="Arial" w:hAnsi="Arial" w:cs="Arial"/>
          <w:sz w:val="22"/>
          <w:szCs w:val="22"/>
        </w:rPr>
        <w:t>p</w:t>
      </w:r>
      <w:r w:rsidRPr="00D349E0">
        <w:rPr>
          <w:rFonts w:ascii="Arial" w:hAnsi="Arial" w:cs="Arial"/>
          <w:sz w:val="22"/>
          <w:szCs w:val="22"/>
        </w:rPr>
        <w:t xml:space="preserve">articipant and </w:t>
      </w:r>
      <w:r w:rsidR="00883B42">
        <w:rPr>
          <w:rFonts w:ascii="Arial" w:hAnsi="Arial" w:cs="Arial"/>
          <w:sz w:val="22"/>
          <w:szCs w:val="22"/>
        </w:rPr>
        <w:t>s</w:t>
      </w:r>
      <w:r w:rsidRPr="00D349E0">
        <w:rPr>
          <w:rFonts w:ascii="Arial" w:hAnsi="Arial" w:cs="Arial"/>
          <w:sz w:val="22"/>
          <w:szCs w:val="22"/>
        </w:rPr>
        <w:t xml:space="preserve">ubscribers affiliated with </w:t>
      </w:r>
      <w:r w:rsidR="00EC0608">
        <w:rPr>
          <w:rFonts w:ascii="Arial" w:hAnsi="Arial" w:cs="Arial"/>
          <w:sz w:val="22"/>
          <w:szCs w:val="22"/>
        </w:rPr>
        <w:t>p</w:t>
      </w:r>
      <w:r w:rsidRPr="00D349E0">
        <w:rPr>
          <w:rFonts w:ascii="Arial" w:hAnsi="Arial" w:cs="Arial"/>
          <w:sz w:val="22"/>
          <w:szCs w:val="22"/>
        </w:rPr>
        <w:t>articipant.</w:t>
      </w:r>
    </w:p>
    <w:p w14:paraId="459B7C21" w14:textId="2CB1F1BF" w:rsidR="00441282" w:rsidRPr="00D349E0" w:rsidRDefault="00441282" w:rsidP="002238F9">
      <w:pPr>
        <w:numPr>
          <w:ilvl w:val="0"/>
          <w:numId w:val="3"/>
        </w:numPr>
        <w:rPr>
          <w:rFonts w:ascii="Arial" w:hAnsi="Arial" w:cs="Arial"/>
          <w:sz w:val="22"/>
          <w:szCs w:val="22"/>
        </w:rPr>
      </w:pPr>
      <w:r w:rsidRPr="00D349E0">
        <w:rPr>
          <w:rFonts w:ascii="Arial" w:hAnsi="Arial" w:cs="Arial"/>
          <w:sz w:val="22"/>
          <w:szCs w:val="22"/>
        </w:rPr>
        <w:t xml:space="preserve">Customer relationship management (CRM) and transaction management tools that only expose the BBO Data to </w:t>
      </w:r>
      <w:r w:rsidR="00EC0608">
        <w:rPr>
          <w:rFonts w:ascii="Arial" w:hAnsi="Arial" w:cs="Arial"/>
          <w:sz w:val="22"/>
          <w:szCs w:val="22"/>
        </w:rPr>
        <w:t>p</w:t>
      </w:r>
      <w:r w:rsidRPr="00D349E0">
        <w:rPr>
          <w:rFonts w:ascii="Arial" w:hAnsi="Arial" w:cs="Arial"/>
          <w:sz w:val="22"/>
          <w:szCs w:val="22"/>
        </w:rPr>
        <w:t xml:space="preserve">articipant, </w:t>
      </w:r>
      <w:r w:rsidR="00883B42">
        <w:rPr>
          <w:rFonts w:ascii="Arial" w:hAnsi="Arial" w:cs="Arial"/>
          <w:sz w:val="22"/>
          <w:szCs w:val="22"/>
        </w:rPr>
        <w:t>s</w:t>
      </w:r>
      <w:r w:rsidRPr="00D349E0">
        <w:rPr>
          <w:rFonts w:ascii="Arial" w:hAnsi="Arial" w:cs="Arial"/>
          <w:sz w:val="22"/>
          <w:szCs w:val="22"/>
        </w:rPr>
        <w:t xml:space="preserve">ubscribers affiliated with </w:t>
      </w:r>
      <w:r w:rsidR="00EC0608">
        <w:rPr>
          <w:rFonts w:ascii="Arial" w:hAnsi="Arial" w:cs="Arial"/>
          <w:sz w:val="22"/>
          <w:szCs w:val="22"/>
        </w:rPr>
        <w:t>p</w:t>
      </w:r>
      <w:r w:rsidRPr="00D349E0">
        <w:rPr>
          <w:rFonts w:ascii="Arial" w:hAnsi="Arial" w:cs="Arial"/>
          <w:sz w:val="22"/>
          <w:szCs w:val="22"/>
        </w:rPr>
        <w:t>articipant, and their bona fide clients as established under state law.</w:t>
      </w:r>
      <w:r w:rsidRPr="00D349E0">
        <w:rPr>
          <w:rFonts w:ascii="Arial" w:hAnsi="Arial" w:cs="Arial"/>
          <w:sz w:val="22"/>
          <w:szCs w:val="22"/>
          <w:u w:val="single"/>
        </w:rPr>
        <w:t xml:space="preserve"> </w:t>
      </w:r>
    </w:p>
    <w:p w14:paraId="78F5CB50" w14:textId="65751F9D" w:rsidR="00441282" w:rsidRPr="00D349E0" w:rsidRDefault="00441282" w:rsidP="002238F9">
      <w:pPr>
        <w:numPr>
          <w:ilvl w:val="0"/>
          <w:numId w:val="3"/>
        </w:numPr>
        <w:rPr>
          <w:rFonts w:ascii="Arial" w:hAnsi="Arial" w:cs="Arial"/>
          <w:sz w:val="22"/>
          <w:szCs w:val="22"/>
          <w:u w:val="single"/>
        </w:rPr>
      </w:pPr>
      <w:r w:rsidRPr="00D349E0">
        <w:rPr>
          <w:rFonts w:ascii="Arial" w:hAnsi="Arial" w:cs="Arial"/>
          <w:sz w:val="22"/>
          <w:szCs w:val="22"/>
        </w:rPr>
        <w:t xml:space="preserve">Agent and brokerage productivity and ranking tools and reports that only exposes BBO Data to </w:t>
      </w:r>
      <w:r w:rsidR="00EC0608">
        <w:rPr>
          <w:rFonts w:ascii="Arial" w:hAnsi="Arial" w:cs="Arial"/>
          <w:sz w:val="22"/>
          <w:szCs w:val="22"/>
        </w:rPr>
        <w:t>p</w:t>
      </w:r>
      <w:r w:rsidRPr="00D349E0">
        <w:rPr>
          <w:rFonts w:ascii="Arial" w:hAnsi="Arial" w:cs="Arial"/>
          <w:sz w:val="22"/>
          <w:szCs w:val="22"/>
        </w:rPr>
        <w:t xml:space="preserve">articipant and </w:t>
      </w:r>
      <w:r w:rsidR="00883B42">
        <w:rPr>
          <w:rFonts w:ascii="Arial" w:hAnsi="Arial" w:cs="Arial"/>
          <w:sz w:val="22"/>
          <w:szCs w:val="22"/>
        </w:rPr>
        <w:t>s</w:t>
      </w:r>
      <w:r w:rsidRPr="00D349E0">
        <w:rPr>
          <w:rFonts w:ascii="Arial" w:hAnsi="Arial" w:cs="Arial"/>
          <w:sz w:val="22"/>
          <w:szCs w:val="22"/>
        </w:rPr>
        <w:t xml:space="preserve">ubscribers affiliated with </w:t>
      </w:r>
      <w:r w:rsidR="00EC0608">
        <w:rPr>
          <w:rFonts w:ascii="Arial" w:hAnsi="Arial" w:cs="Arial"/>
          <w:sz w:val="22"/>
          <w:szCs w:val="22"/>
        </w:rPr>
        <w:t>p</w:t>
      </w:r>
      <w:r w:rsidRPr="00D349E0">
        <w:rPr>
          <w:rFonts w:ascii="Arial" w:hAnsi="Arial" w:cs="Arial"/>
          <w:sz w:val="22"/>
          <w:szCs w:val="22"/>
        </w:rPr>
        <w:t xml:space="preserve">articipant. </w:t>
      </w:r>
    </w:p>
    <w:p w14:paraId="0885A74A" w14:textId="77777777" w:rsidR="00441282" w:rsidRPr="00D349E0" w:rsidRDefault="00441282" w:rsidP="002238F9">
      <w:pPr>
        <w:numPr>
          <w:ilvl w:val="0"/>
          <w:numId w:val="3"/>
        </w:numPr>
        <w:rPr>
          <w:rFonts w:ascii="Arial" w:hAnsi="Arial" w:cs="Arial"/>
          <w:sz w:val="22"/>
          <w:szCs w:val="22"/>
        </w:rPr>
      </w:pPr>
      <w:r w:rsidRPr="00D349E0">
        <w:rPr>
          <w:rFonts w:ascii="Arial" w:hAnsi="Arial" w:cs="Arial"/>
          <w:sz w:val="22"/>
          <w:szCs w:val="22"/>
        </w:rPr>
        <w:t>Marketplace statistical analysis and reports in conformance with NAR MLS Policy Statement 7.80, which allows for certain public distribution.</w:t>
      </w:r>
    </w:p>
    <w:p w14:paraId="0A6F72AA" w14:textId="6D348657" w:rsidR="00441282" w:rsidRPr="00D349E0" w:rsidRDefault="00441282" w:rsidP="00441282">
      <w:pPr>
        <w:ind w:left="360"/>
        <w:rPr>
          <w:rFonts w:ascii="Arial" w:hAnsi="Arial" w:cs="Arial"/>
          <w:sz w:val="22"/>
          <w:szCs w:val="22"/>
        </w:rPr>
      </w:pPr>
      <w:r w:rsidRPr="00D349E0">
        <w:rPr>
          <w:rFonts w:ascii="Arial" w:hAnsi="Arial" w:cs="Arial"/>
          <w:sz w:val="22"/>
          <w:szCs w:val="22"/>
        </w:rPr>
        <w:br/>
        <w:t xml:space="preserve">BBO Use may only be made by </w:t>
      </w:r>
      <w:r w:rsidR="00EC0608">
        <w:rPr>
          <w:rFonts w:ascii="Arial" w:hAnsi="Arial" w:cs="Arial"/>
          <w:sz w:val="22"/>
          <w:szCs w:val="22"/>
        </w:rPr>
        <w:t>p</w:t>
      </w:r>
      <w:r w:rsidRPr="00D349E0">
        <w:rPr>
          <w:rFonts w:ascii="Arial" w:hAnsi="Arial" w:cs="Arial"/>
          <w:sz w:val="22"/>
          <w:szCs w:val="22"/>
        </w:rPr>
        <w:t xml:space="preserve">articipant and </w:t>
      </w:r>
      <w:r w:rsidR="00697619">
        <w:rPr>
          <w:rFonts w:ascii="Arial" w:hAnsi="Arial" w:cs="Arial"/>
          <w:sz w:val="22"/>
          <w:szCs w:val="22"/>
        </w:rPr>
        <w:t>s</w:t>
      </w:r>
      <w:r w:rsidRPr="00D349E0">
        <w:rPr>
          <w:rFonts w:ascii="Arial" w:hAnsi="Arial" w:cs="Arial"/>
          <w:sz w:val="22"/>
          <w:szCs w:val="22"/>
        </w:rPr>
        <w:t xml:space="preserve">ubscriber affiliated with </w:t>
      </w:r>
      <w:r w:rsidR="00EC0608">
        <w:rPr>
          <w:rFonts w:ascii="Arial" w:hAnsi="Arial" w:cs="Arial"/>
          <w:sz w:val="22"/>
          <w:szCs w:val="22"/>
        </w:rPr>
        <w:t>p</w:t>
      </w:r>
      <w:r w:rsidRPr="00D349E0">
        <w:rPr>
          <w:rFonts w:ascii="Arial" w:hAnsi="Arial" w:cs="Arial"/>
          <w:sz w:val="22"/>
          <w:szCs w:val="22"/>
        </w:rPr>
        <w:t xml:space="preserve">articipant, except that at the request of a </w:t>
      </w:r>
      <w:r w:rsidR="00EC0608">
        <w:rPr>
          <w:rFonts w:ascii="Arial" w:hAnsi="Arial" w:cs="Arial"/>
          <w:sz w:val="22"/>
          <w:szCs w:val="22"/>
        </w:rPr>
        <w:t>p</w:t>
      </w:r>
      <w:r w:rsidRPr="00D349E0">
        <w:rPr>
          <w:rFonts w:ascii="Arial" w:hAnsi="Arial" w:cs="Arial"/>
          <w:sz w:val="22"/>
          <w:szCs w:val="22"/>
        </w:rPr>
        <w:t xml:space="preserve">articipant, MLS must provide BBO Data to that </w:t>
      </w:r>
      <w:r w:rsidR="00EC0608">
        <w:rPr>
          <w:rFonts w:ascii="Arial" w:hAnsi="Arial" w:cs="Arial"/>
          <w:sz w:val="22"/>
          <w:szCs w:val="22"/>
        </w:rPr>
        <w:t>p</w:t>
      </w:r>
      <w:r w:rsidRPr="00D349E0">
        <w:rPr>
          <w:rFonts w:ascii="Arial" w:hAnsi="Arial" w:cs="Arial"/>
          <w:sz w:val="22"/>
          <w:szCs w:val="22"/>
        </w:rPr>
        <w:t xml:space="preserve">articipant’s designee. The designee may use the BBO Data only to facilitate the BBO Use on behalf of that </w:t>
      </w:r>
      <w:r w:rsidR="00EC0608">
        <w:rPr>
          <w:rFonts w:ascii="Arial" w:hAnsi="Arial" w:cs="Arial"/>
          <w:sz w:val="22"/>
          <w:szCs w:val="22"/>
        </w:rPr>
        <w:t>p</w:t>
      </w:r>
      <w:r w:rsidRPr="00D349E0">
        <w:rPr>
          <w:rFonts w:ascii="Arial" w:hAnsi="Arial" w:cs="Arial"/>
          <w:sz w:val="22"/>
          <w:szCs w:val="22"/>
        </w:rPr>
        <w:t xml:space="preserve">articipant and its affiliated </w:t>
      </w:r>
      <w:r w:rsidR="00883B42">
        <w:rPr>
          <w:rFonts w:ascii="Arial" w:hAnsi="Arial" w:cs="Arial"/>
          <w:sz w:val="22"/>
          <w:szCs w:val="22"/>
        </w:rPr>
        <w:t>s</w:t>
      </w:r>
      <w:r w:rsidRPr="00D349E0">
        <w:rPr>
          <w:rFonts w:ascii="Arial" w:hAnsi="Arial" w:cs="Arial"/>
          <w:sz w:val="22"/>
          <w:szCs w:val="22"/>
        </w:rPr>
        <w:t>ubscribers.</w:t>
      </w:r>
    </w:p>
    <w:p w14:paraId="708EA0BF" w14:textId="77777777" w:rsidR="00441282" w:rsidRPr="00D349E0" w:rsidRDefault="00441282" w:rsidP="00441282">
      <w:pPr>
        <w:ind w:left="360"/>
        <w:rPr>
          <w:rFonts w:ascii="Arial" w:hAnsi="Arial" w:cs="Arial"/>
          <w:sz w:val="22"/>
          <w:szCs w:val="22"/>
        </w:rPr>
      </w:pPr>
    </w:p>
    <w:p w14:paraId="2AB9BA0C" w14:textId="63209DA9"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There is no option for </w:t>
      </w:r>
      <w:r w:rsidR="00EC0608">
        <w:rPr>
          <w:rFonts w:ascii="Arial" w:hAnsi="Arial" w:cs="Arial"/>
          <w:sz w:val="22"/>
          <w:szCs w:val="22"/>
        </w:rPr>
        <w:t>p</w:t>
      </w:r>
      <w:r w:rsidRPr="00D349E0">
        <w:rPr>
          <w:rFonts w:ascii="Arial" w:hAnsi="Arial" w:cs="Arial"/>
          <w:sz w:val="22"/>
          <w:szCs w:val="22"/>
        </w:rPr>
        <w:t>articipants to opt-out their listings from the Brokerage Back Office Feed Use as defined.</w:t>
      </w:r>
    </w:p>
    <w:p w14:paraId="32231F2C" w14:textId="77777777" w:rsidR="00441282" w:rsidRPr="00D349E0" w:rsidRDefault="00441282" w:rsidP="00441282">
      <w:pPr>
        <w:ind w:left="360"/>
        <w:rPr>
          <w:rFonts w:ascii="Arial" w:hAnsi="Arial" w:cs="Arial"/>
          <w:sz w:val="22"/>
          <w:szCs w:val="22"/>
        </w:rPr>
      </w:pPr>
    </w:p>
    <w:p w14:paraId="086FB966" w14:textId="77777777" w:rsidR="00441282" w:rsidRPr="00D349E0" w:rsidRDefault="00441282" w:rsidP="00441282">
      <w:pPr>
        <w:ind w:left="360"/>
        <w:rPr>
          <w:rFonts w:ascii="Arial" w:hAnsi="Arial" w:cs="Arial"/>
          <w:sz w:val="22"/>
          <w:szCs w:val="22"/>
        </w:rPr>
      </w:pPr>
      <w:r w:rsidRPr="00D349E0">
        <w:rPr>
          <w:rFonts w:ascii="Arial" w:hAnsi="Arial" w:cs="Arial"/>
          <w:sz w:val="22"/>
          <w:szCs w:val="22"/>
        </w:rPr>
        <w:t>“Terms” mean the following:</w:t>
      </w:r>
    </w:p>
    <w:p w14:paraId="41282C70" w14:textId="77777777" w:rsidR="00441282" w:rsidRPr="00D349E0" w:rsidRDefault="00441282" w:rsidP="00441282">
      <w:pPr>
        <w:ind w:left="360"/>
        <w:rPr>
          <w:rFonts w:ascii="Arial" w:hAnsi="Arial" w:cs="Arial"/>
          <w:sz w:val="22"/>
          <w:szCs w:val="22"/>
        </w:rPr>
      </w:pPr>
    </w:p>
    <w:p w14:paraId="3D3D88DF" w14:textId="17EF5C88" w:rsidR="00441282" w:rsidRPr="00D349E0" w:rsidRDefault="00441282" w:rsidP="002238F9">
      <w:pPr>
        <w:numPr>
          <w:ilvl w:val="0"/>
          <w:numId w:val="4"/>
        </w:numPr>
        <w:rPr>
          <w:rFonts w:ascii="Arial" w:hAnsi="Arial" w:cs="Arial"/>
          <w:sz w:val="22"/>
          <w:szCs w:val="22"/>
        </w:rPr>
      </w:pPr>
      <w:r w:rsidRPr="00D349E0">
        <w:rPr>
          <w:rFonts w:ascii="Arial" w:hAnsi="Arial" w:cs="Arial"/>
          <w:sz w:val="22"/>
          <w:szCs w:val="22"/>
        </w:rPr>
        <w:t xml:space="preserve">MLSs may impose reasonable licensing provisions and fees related to </w:t>
      </w:r>
      <w:r w:rsidR="00EC0608">
        <w:rPr>
          <w:rFonts w:ascii="Arial" w:hAnsi="Arial" w:cs="Arial"/>
          <w:sz w:val="22"/>
          <w:szCs w:val="22"/>
        </w:rPr>
        <w:t>p</w:t>
      </w:r>
      <w:r w:rsidRPr="00D349E0">
        <w:rPr>
          <w:rFonts w:ascii="Arial" w:hAnsi="Arial" w:cs="Arial"/>
          <w:sz w:val="22"/>
          <w:szCs w:val="22"/>
        </w:rPr>
        <w:t xml:space="preserve">articipant’s license to use Brokerage Back Office Feed Data. MLSs may require the </w:t>
      </w:r>
      <w:r w:rsidR="00EC0608">
        <w:rPr>
          <w:rFonts w:ascii="Arial" w:hAnsi="Arial" w:cs="Arial"/>
          <w:sz w:val="22"/>
          <w:szCs w:val="22"/>
        </w:rPr>
        <w:t>p</w:t>
      </w:r>
      <w:r w:rsidRPr="00D349E0">
        <w:rPr>
          <w:rFonts w:ascii="Arial" w:hAnsi="Arial" w:cs="Arial"/>
          <w:sz w:val="22"/>
          <w:szCs w:val="22"/>
        </w:rPr>
        <w:t xml:space="preserve">articipant’s designee to sign the same or a separate and different license agreement from what is signed by the </w:t>
      </w:r>
      <w:r w:rsidR="00EC0608">
        <w:rPr>
          <w:rFonts w:ascii="Arial" w:hAnsi="Arial" w:cs="Arial"/>
          <w:sz w:val="22"/>
          <w:szCs w:val="22"/>
        </w:rPr>
        <w:t>p</w:t>
      </w:r>
      <w:r w:rsidRPr="00D349E0">
        <w:rPr>
          <w:rFonts w:ascii="Arial" w:hAnsi="Arial" w:cs="Arial"/>
          <w:sz w:val="22"/>
          <w:szCs w:val="22"/>
        </w:rPr>
        <w:t>articipant. Such provisions in a license agreement may include those typical to the MLS’s data licensing practices, such as security requirements, rights to equitable relief, and dispute resolution terms. (The foregoing examples are not a limitation on the types of provisions an MLS may have in a license agreement.)</w:t>
      </w:r>
    </w:p>
    <w:p w14:paraId="7CB8B816" w14:textId="77777777" w:rsidR="00441282" w:rsidRPr="00D349E0" w:rsidRDefault="00441282" w:rsidP="002238F9">
      <w:pPr>
        <w:numPr>
          <w:ilvl w:val="0"/>
          <w:numId w:val="4"/>
        </w:numPr>
        <w:rPr>
          <w:rFonts w:ascii="Arial" w:hAnsi="Arial" w:cs="Arial"/>
          <w:sz w:val="22"/>
          <w:szCs w:val="22"/>
        </w:rPr>
      </w:pPr>
      <w:r w:rsidRPr="00D349E0">
        <w:rPr>
          <w:rFonts w:ascii="Arial" w:hAnsi="Arial" w:cs="Arial"/>
          <w:sz w:val="22"/>
          <w:szCs w:val="22"/>
        </w:rPr>
        <w:t>Use of roster information may be limited by the MLS participation agreement and license agreements.</w:t>
      </w:r>
    </w:p>
    <w:p w14:paraId="557B2578" w14:textId="77777777" w:rsidR="00441282" w:rsidRPr="00D349E0" w:rsidRDefault="00441282" w:rsidP="002238F9">
      <w:pPr>
        <w:numPr>
          <w:ilvl w:val="0"/>
          <w:numId w:val="4"/>
        </w:numPr>
        <w:rPr>
          <w:rFonts w:ascii="Arial" w:hAnsi="Arial" w:cs="Arial"/>
          <w:sz w:val="22"/>
          <w:szCs w:val="22"/>
        </w:rPr>
      </w:pPr>
      <w:r w:rsidRPr="00D349E0">
        <w:rPr>
          <w:rFonts w:ascii="Arial" w:hAnsi="Arial" w:cs="Arial"/>
          <w:sz w:val="22"/>
          <w:szCs w:val="22"/>
        </w:rPr>
        <w:t xml:space="preserve">Brokerage Back Office Feed Use is subject to other NAR MLS policies and local rules. </w:t>
      </w:r>
    </w:p>
    <w:p w14:paraId="705941A2" w14:textId="07285735" w:rsidR="00441282" w:rsidRPr="00D349E0" w:rsidRDefault="00441282" w:rsidP="002238F9">
      <w:pPr>
        <w:numPr>
          <w:ilvl w:val="0"/>
          <w:numId w:val="4"/>
        </w:numPr>
        <w:rPr>
          <w:rFonts w:ascii="Arial" w:hAnsi="Arial" w:cs="Arial"/>
          <w:sz w:val="22"/>
          <w:szCs w:val="22"/>
        </w:rPr>
      </w:pPr>
      <w:r w:rsidRPr="00D349E0">
        <w:rPr>
          <w:rFonts w:ascii="Arial" w:hAnsi="Arial" w:cs="Arial"/>
          <w:sz w:val="22"/>
          <w:szCs w:val="22"/>
        </w:rPr>
        <w:t xml:space="preserve">MLSs in their reasonable discretion may expand the definition of Brokerage Back Office Feed Use in conformance with other NAR MLS policies, such as Policy Statement 7.85, which provides that “Use of listings and listing information by MLSs for purposes other than the defined purposes of MLS requires </w:t>
      </w:r>
      <w:r w:rsidR="00EC0608">
        <w:rPr>
          <w:rFonts w:ascii="Arial" w:hAnsi="Arial" w:cs="Arial"/>
          <w:sz w:val="22"/>
          <w:szCs w:val="22"/>
        </w:rPr>
        <w:t>p</w:t>
      </w:r>
      <w:r w:rsidRPr="00D349E0">
        <w:rPr>
          <w:rFonts w:ascii="Arial" w:hAnsi="Arial" w:cs="Arial"/>
          <w:sz w:val="22"/>
          <w:szCs w:val="22"/>
        </w:rPr>
        <w:t>articipants’ consent.”</w:t>
      </w:r>
      <w:r w:rsidRPr="00D349E0">
        <w:rPr>
          <w:rFonts w:ascii="Arial" w:hAnsi="Arial" w:cs="Arial"/>
          <w:b/>
          <w:color w:val="FF0000"/>
          <w:sz w:val="22"/>
          <w:szCs w:val="22"/>
        </w:rPr>
        <w:t xml:space="preserve"> M</w:t>
      </w:r>
    </w:p>
    <w:p w14:paraId="2B37EA46" w14:textId="77777777" w:rsidR="00441282" w:rsidRPr="00D349E0" w:rsidRDefault="00441282" w:rsidP="00BA4A82">
      <w:pPr>
        <w:ind w:left="360"/>
        <w:rPr>
          <w:rFonts w:ascii="Arial" w:hAnsi="Arial" w:cs="Arial"/>
          <w:b/>
          <w:color w:val="FF0000"/>
          <w:sz w:val="22"/>
          <w:szCs w:val="22"/>
        </w:rPr>
      </w:pPr>
    </w:p>
    <w:p w14:paraId="1B23542D" w14:textId="77777777" w:rsidR="00BB43F8" w:rsidRPr="00D349E0" w:rsidRDefault="00E319A4" w:rsidP="002238F9">
      <w:pPr>
        <w:numPr>
          <w:ilvl w:val="0"/>
          <w:numId w:val="1"/>
        </w:numPr>
        <w:rPr>
          <w:rFonts w:ascii="Arial" w:hAnsi="Arial" w:cs="Arial"/>
          <w:b/>
          <w:bCs/>
          <w:sz w:val="22"/>
          <w:szCs w:val="22"/>
        </w:rPr>
      </w:pPr>
      <w:r w:rsidRPr="00D349E0">
        <w:rPr>
          <w:rFonts w:ascii="Arial" w:hAnsi="Arial" w:cs="Arial"/>
          <w:b/>
          <w:sz w:val="22"/>
          <w:szCs w:val="22"/>
        </w:rPr>
        <w:t xml:space="preserve">(New) </w:t>
      </w:r>
      <w:r w:rsidR="00BB43F8" w:rsidRPr="00D349E0">
        <w:rPr>
          <w:rFonts w:ascii="Arial" w:hAnsi="Arial" w:cs="Arial"/>
          <w:b/>
          <w:sz w:val="22"/>
          <w:szCs w:val="22"/>
        </w:rPr>
        <w:t xml:space="preserve">MLS Policy Statement </w:t>
      </w:r>
      <w:r w:rsidRPr="00D349E0">
        <w:rPr>
          <w:rFonts w:ascii="Arial" w:hAnsi="Arial" w:cs="Arial"/>
          <w:b/>
          <w:sz w:val="22"/>
          <w:szCs w:val="22"/>
        </w:rPr>
        <w:t>8.8</w:t>
      </w:r>
      <w:r w:rsidR="00A103A6" w:rsidRPr="00D349E0">
        <w:rPr>
          <w:rFonts w:ascii="Arial" w:hAnsi="Arial" w:cs="Arial"/>
          <w:b/>
          <w:sz w:val="22"/>
          <w:szCs w:val="22"/>
        </w:rPr>
        <w:t xml:space="preserve">, </w:t>
      </w:r>
      <w:r w:rsidR="00716358" w:rsidRPr="00D349E0">
        <w:rPr>
          <w:rFonts w:ascii="Arial" w:hAnsi="Arial" w:cs="Arial"/>
          <w:b/>
          <w:sz w:val="22"/>
          <w:szCs w:val="22"/>
        </w:rPr>
        <w:t>Display of</w:t>
      </w:r>
      <w:r w:rsidR="00DB616C" w:rsidRPr="00D349E0">
        <w:rPr>
          <w:rFonts w:ascii="Arial" w:hAnsi="Arial" w:cs="Arial"/>
          <w:b/>
          <w:sz w:val="22"/>
          <w:szCs w:val="22"/>
        </w:rPr>
        <w:t xml:space="preserve"> Listing Broker’s Offer of Compensation</w:t>
      </w:r>
    </w:p>
    <w:p w14:paraId="35610689" w14:textId="77777777" w:rsidR="00BB43F8" w:rsidRPr="00D349E0" w:rsidRDefault="00E319A4" w:rsidP="00DB616C">
      <w:pPr>
        <w:ind w:left="360"/>
        <w:rPr>
          <w:rFonts w:ascii="Arial" w:hAnsi="Arial" w:cs="Arial"/>
          <w:iCs/>
          <w:sz w:val="22"/>
          <w:szCs w:val="22"/>
        </w:rPr>
      </w:pPr>
      <w:r w:rsidRPr="00D349E0">
        <w:rPr>
          <w:rFonts w:ascii="Arial" w:hAnsi="Arial" w:cs="Arial"/>
          <w:iCs/>
          <w:sz w:val="22"/>
          <w:szCs w:val="22"/>
        </w:rPr>
        <w:t>MLSs must include the listing broker’s offer of compensation for each active listing displayed on its consumer-facing website(s) and in MLS data feeds provided to participants and subscribers and must permit MLS participants or subscribers to share such information though IDX and VOW displays or through any other form or format provided to clients and consumers. The information about the offer of compensation must be accompanied by a disclaimer stating that the offer is made only to participants of the MLS where the listing is filed.</w:t>
      </w:r>
      <w:r w:rsidR="00BB43F8" w:rsidRPr="00D349E0">
        <w:rPr>
          <w:rFonts w:ascii="Arial" w:hAnsi="Arial" w:cs="Arial"/>
          <w:iCs/>
          <w:sz w:val="22"/>
          <w:szCs w:val="22"/>
        </w:rPr>
        <w:t xml:space="preserve"> </w:t>
      </w:r>
      <w:r w:rsidR="00716358" w:rsidRPr="00D349E0">
        <w:rPr>
          <w:rFonts w:ascii="Arial" w:hAnsi="Arial" w:cs="Arial"/>
          <w:b/>
          <w:bCs/>
          <w:color w:val="FF0000"/>
          <w:sz w:val="22"/>
          <w:szCs w:val="22"/>
        </w:rPr>
        <w:t>M</w:t>
      </w:r>
      <w:r w:rsidR="00716358" w:rsidRPr="00D349E0">
        <w:rPr>
          <w:rFonts w:ascii="Arial" w:hAnsi="Arial" w:cs="Arial"/>
          <w:sz w:val="22"/>
          <w:szCs w:val="22"/>
        </w:rPr>
        <w:t xml:space="preserve"> </w:t>
      </w:r>
    </w:p>
    <w:p w14:paraId="6644747C" w14:textId="77777777" w:rsidR="00BB43F8" w:rsidRPr="00D349E0" w:rsidRDefault="00BB43F8" w:rsidP="00BB43F8">
      <w:pPr>
        <w:rPr>
          <w:rFonts w:ascii="Arial" w:hAnsi="Arial" w:cs="Arial"/>
          <w:b/>
          <w:sz w:val="22"/>
          <w:szCs w:val="22"/>
        </w:rPr>
      </w:pPr>
    </w:p>
    <w:p w14:paraId="6B359428" w14:textId="77777777" w:rsidR="00212953" w:rsidRPr="00D349E0" w:rsidRDefault="00212953" w:rsidP="002238F9">
      <w:pPr>
        <w:keepLines/>
        <w:numPr>
          <w:ilvl w:val="0"/>
          <w:numId w:val="1"/>
        </w:numPr>
        <w:rPr>
          <w:rFonts w:ascii="Arial" w:hAnsi="Arial" w:cs="Arial"/>
          <w:b/>
          <w:bCs/>
          <w:sz w:val="22"/>
          <w:szCs w:val="22"/>
        </w:rPr>
      </w:pPr>
      <w:r w:rsidRPr="00D349E0">
        <w:rPr>
          <w:rFonts w:ascii="Arial" w:hAnsi="Arial" w:cs="Arial"/>
          <w:b/>
          <w:bCs/>
          <w:sz w:val="22"/>
          <w:szCs w:val="22"/>
        </w:rPr>
        <w:t>(New) MLS Policy Statement 8.9, Property Addresses</w:t>
      </w:r>
    </w:p>
    <w:p w14:paraId="0181BDF1" w14:textId="77777777" w:rsidR="00212953" w:rsidRPr="00D349E0" w:rsidRDefault="00212953" w:rsidP="00212953">
      <w:pPr>
        <w:keepLines/>
        <w:ind w:left="360"/>
        <w:rPr>
          <w:rFonts w:ascii="Arial" w:hAnsi="Arial" w:cs="Arial"/>
          <w:b/>
          <w:color w:val="FF0000"/>
          <w:sz w:val="22"/>
          <w:szCs w:val="22"/>
        </w:rPr>
      </w:pPr>
      <w:r w:rsidRPr="00D349E0">
        <w:rPr>
          <w:rFonts w:ascii="Arial" w:hAnsi="Arial" w:cs="Arial"/>
          <w:bCs/>
          <w:sz w:val="22"/>
          <w:szCs w:val="22"/>
        </w:rPr>
        <w:lastRenderedPageBreak/>
        <w:t xml:space="preserve">Residential listings filed with the MLS must include a property address where one exists at the time the listing is filed. If a property address is unavailable, then the parcel identification number must be submitted at the time the listing is filed. If no address or parcel identification number is available at the time the listing is filed, the listing must, at a minimum, contain a legal description of the property sufficient to describe the location of the property. This information shall be available to participants and subscribers at the time of filing. </w:t>
      </w:r>
      <w:r w:rsidRPr="00D349E0">
        <w:rPr>
          <w:rFonts w:ascii="Arial" w:hAnsi="Arial" w:cs="Arial"/>
          <w:b/>
          <w:color w:val="FF0000"/>
          <w:sz w:val="22"/>
          <w:szCs w:val="22"/>
        </w:rPr>
        <w:t>M</w:t>
      </w:r>
    </w:p>
    <w:p w14:paraId="69608051" w14:textId="77777777" w:rsidR="001B4893" w:rsidRPr="00D349E0" w:rsidRDefault="003C35E4" w:rsidP="00706E43">
      <w:pPr>
        <w:ind w:left="360"/>
        <w:rPr>
          <w:rFonts w:ascii="Arial" w:hAnsi="Arial" w:cs="Arial"/>
          <w:i/>
          <w:iCs/>
          <w:sz w:val="22"/>
          <w:szCs w:val="22"/>
        </w:rPr>
      </w:pPr>
      <w:bookmarkStart w:id="6" w:name="_Hlk89871495"/>
      <w:r w:rsidRPr="00D349E0">
        <w:rPr>
          <w:rFonts w:ascii="Arial" w:hAnsi="Arial" w:cs="Arial"/>
          <w:iCs/>
          <w:sz w:val="22"/>
          <w:szCs w:val="22"/>
        </w:rPr>
        <w:br/>
      </w:r>
      <w:bookmarkEnd w:id="6"/>
    </w:p>
    <w:sectPr w:rsidR="001B4893" w:rsidRPr="00D349E0" w:rsidSect="00D63D57">
      <w:footerReference w:type="default" r:id="rId12"/>
      <w:footerReference w:type="first" r:id="rId13"/>
      <w:pgSz w:w="12240" w:h="15840" w:code="1"/>
      <w:pgMar w:top="630" w:right="1440" w:bottom="126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A9D50" w14:textId="77777777" w:rsidR="00232E43" w:rsidRDefault="00232E43">
      <w:r>
        <w:separator/>
      </w:r>
    </w:p>
  </w:endnote>
  <w:endnote w:type="continuationSeparator" w:id="0">
    <w:p w14:paraId="08D591A2" w14:textId="77777777" w:rsidR="00232E43" w:rsidRDefault="002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Times-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FB1A9" w14:textId="77777777" w:rsidR="00471A49" w:rsidRPr="00EF7B9F" w:rsidRDefault="00EF7B9F" w:rsidP="00EF7B9F">
    <w:pPr>
      <w:pStyle w:val="Footer"/>
      <w:jc w:val="center"/>
      <w:rPr>
        <w:rFonts w:ascii="Arial" w:hAnsi="Arial" w:cs="Arial"/>
        <w:sz w:val="22"/>
        <w:szCs w:val="22"/>
      </w:rPr>
    </w:pPr>
    <w:r w:rsidRPr="00EF7B9F">
      <w:rPr>
        <w:rFonts w:ascii="Arial" w:hAnsi="Arial" w:cs="Arial"/>
        <w:sz w:val="22"/>
        <w:szCs w:val="22"/>
      </w:rPr>
      <w:t xml:space="preserve">Page </w:t>
    </w:r>
    <w:r w:rsidRPr="00EF7B9F">
      <w:rPr>
        <w:rFonts w:ascii="Arial" w:hAnsi="Arial" w:cs="Arial"/>
        <w:sz w:val="22"/>
        <w:szCs w:val="22"/>
      </w:rPr>
      <w:fldChar w:fldCharType="begin"/>
    </w:r>
    <w:r w:rsidRPr="00EF7B9F">
      <w:rPr>
        <w:rFonts w:ascii="Arial" w:hAnsi="Arial" w:cs="Arial"/>
        <w:sz w:val="22"/>
        <w:szCs w:val="22"/>
      </w:rPr>
      <w:instrText xml:space="preserve"> PAGE  \* Arabic  \* MERGEFORMAT </w:instrText>
    </w:r>
    <w:r w:rsidRPr="00EF7B9F">
      <w:rPr>
        <w:rFonts w:ascii="Arial" w:hAnsi="Arial" w:cs="Arial"/>
        <w:sz w:val="22"/>
        <w:szCs w:val="22"/>
      </w:rPr>
      <w:fldChar w:fldCharType="separate"/>
    </w:r>
    <w:r w:rsidR="00673D50">
      <w:rPr>
        <w:rFonts w:ascii="Arial" w:hAnsi="Arial" w:cs="Arial"/>
        <w:noProof/>
        <w:sz w:val="22"/>
        <w:szCs w:val="22"/>
      </w:rPr>
      <w:t>1</w:t>
    </w:r>
    <w:r w:rsidRPr="00EF7B9F">
      <w:rPr>
        <w:rFonts w:ascii="Arial" w:hAnsi="Arial" w:cs="Arial"/>
        <w:sz w:val="22"/>
        <w:szCs w:val="22"/>
      </w:rPr>
      <w:fldChar w:fldCharType="end"/>
    </w:r>
    <w:r w:rsidRPr="00EF7B9F">
      <w:rPr>
        <w:rFonts w:ascii="Arial" w:hAnsi="Arial" w:cs="Arial"/>
        <w:sz w:val="22"/>
        <w:szCs w:val="22"/>
      </w:rPr>
      <w:t xml:space="preserve"> of </w:t>
    </w:r>
    <w:r w:rsidRPr="00EF7B9F">
      <w:rPr>
        <w:rFonts w:ascii="Arial" w:hAnsi="Arial" w:cs="Arial"/>
        <w:sz w:val="22"/>
        <w:szCs w:val="22"/>
      </w:rPr>
      <w:fldChar w:fldCharType="begin"/>
    </w:r>
    <w:r w:rsidRPr="00EF7B9F">
      <w:rPr>
        <w:rFonts w:ascii="Arial" w:hAnsi="Arial" w:cs="Arial"/>
        <w:sz w:val="22"/>
        <w:szCs w:val="22"/>
      </w:rPr>
      <w:instrText xml:space="preserve"> NUMPAGES  \* Arabic  \* MERGEFORMAT </w:instrText>
    </w:r>
    <w:r w:rsidRPr="00EF7B9F">
      <w:rPr>
        <w:rFonts w:ascii="Arial" w:hAnsi="Arial" w:cs="Arial"/>
        <w:sz w:val="22"/>
        <w:szCs w:val="22"/>
      </w:rPr>
      <w:fldChar w:fldCharType="separate"/>
    </w:r>
    <w:r w:rsidR="00673D50">
      <w:rPr>
        <w:rFonts w:ascii="Arial" w:hAnsi="Arial" w:cs="Arial"/>
        <w:noProof/>
        <w:sz w:val="22"/>
        <w:szCs w:val="22"/>
      </w:rPr>
      <w:t>1</w:t>
    </w:r>
    <w:r w:rsidRPr="00EF7B9F">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13E8" w14:textId="77777777" w:rsidR="00471A49" w:rsidRPr="00EF7B9F" w:rsidRDefault="00EF7B9F" w:rsidP="00EF7B9F">
    <w:pPr>
      <w:pStyle w:val="Footer"/>
      <w:jc w:val="center"/>
      <w:rPr>
        <w:rFonts w:ascii="Arial" w:hAnsi="Arial" w:cs="Arial"/>
        <w:snapToGrid w:val="0"/>
        <w:sz w:val="22"/>
        <w:szCs w:val="22"/>
      </w:rPr>
    </w:pPr>
    <w:r w:rsidRPr="00EF7B9F">
      <w:rPr>
        <w:rFonts w:ascii="Arial" w:hAnsi="Arial" w:cs="Arial"/>
        <w:snapToGrid w:val="0"/>
        <w:sz w:val="22"/>
        <w:szCs w:val="22"/>
      </w:rPr>
      <w:t xml:space="preserve">Page </w:t>
    </w:r>
    <w:r w:rsidRPr="00EF7B9F">
      <w:rPr>
        <w:rFonts w:ascii="Arial" w:hAnsi="Arial" w:cs="Arial"/>
        <w:snapToGrid w:val="0"/>
        <w:sz w:val="22"/>
        <w:szCs w:val="22"/>
      </w:rPr>
      <w:fldChar w:fldCharType="begin"/>
    </w:r>
    <w:r w:rsidRPr="00EF7B9F">
      <w:rPr>
        <w:rFonts w:ascii="Arial" w:hAnsi="Arial" w:cs="Arial"/>
        <w:snapToGrid w:val="0"/>
        <w:sz w:val="22"/>
        <w:szCs w:val="22"/>
      </w:rPr>
      <w:instrText xml:space="preserve"> PAGE  \* Arabic  \* MERGEFORMAT </w:instrText>
    </w:r>
    <w:r w:rsidRPr="00EF7B9F">
      <w:rPr>
        <w:rFonts w:ascii="Arial" w:hAnsi="Arial" w:cs="Arial"/>
        <w:snapToGrid w:val="0"/>
        <w:sz w:val="22"/>
        <w:szCs w:val="22"/>
      </w:rPr>
      <w:fldChar w:fldCharType="separate"/>
    </w:r>
    <w:r w:rsidR="00210C84">
      <w:rPr>
        <w:rFonts w:ascii="Arial" w:hAnsi="Arial" w:cs="Arial"/>
        <w:noProof/>
        <w:snapToGrid w:val="0"/>
        <w:sz w:val="22"/>
        <w:szCs w:val="22"/>
      </w:rPr>
      <w:t>8</w:t>
    </w:r>
    <w:r w:rsidRPr="00EF7B9F">
      <w:rPr>
        <w:rFonts w:ascii="Arial" w:hAnsi="Arial" w:cs="Arial"/>
        <w:snapToGrid w:val="0"/>
        <w:sz w:val="22"/>
        <w:szCs w:val="22"/>
      </w:rPr>
      <w:fldChar w:fldCharType="end"/>
    </w:r>
    <w:r w:rsidRPr="00EF7B9F">
      <w:rPr>
        <w:rFonts w:ascii="Arial" w:hAnsi="Arial" w:cs="Arial"/>
        <w:snapToGrid w:val="0"/>
        <w:sz w:val="22"/>
        <w:szCs w:val="22"/>
      </w:rPr>
      <w:t xml:space="preserve"> of </w:t>
    </w:r>
    <w:r w:rsidRPr="00EF7B9F">
      <w:rPr>
        <w:rFonts w:ascii="Arial" w:hAnsi="Arial" w:cs="Arial"/>
        <w:snapToGrid w:val="0"/>
        <w:sz w:val="22"/>
        <w:szCs w:val="22"/>
      </w:rPr>
      <w:fldChar w:fldCharType="begin"/>
    </w:r>
    <w:r w:rsidRPr="00EF7B9F">
      <w:rPr>
        <w:rFonts w:ascii="Arial" w:hAnsi="Arial" w:cs="Arial"/>
        <w:snapToGrid w:val="0"/>
        <w:sz w:val="22"/>
        <w:szCs w:val="22"/>
      </w:rPr>
      <w:instrText xml:space="preserve"> NUMPAGES  \* Arabic  \* MERGEFORMAT </w:instrText>
    </w:r>
    <w:r w:rsidRPr="00EF7B9F">
      <w:rPr>
        <w:rFonts w:ascii="Arial" w:hAnsi="Arial" w:cs="Arial"/>
        <w:snapToGrid w:val="0"/>
        <w:sz w:val="22"/>
        <w:szCs w:val="22"/>
      </w:rPr>
      <w:fldChar w:fldCharType="separate"/>
    </w:r>
    <w:r w:rsidR="003432F1">
      <w:rPr>
        <w:rFonts w:ascii="Arial" w:hAnsi="Arial" w:cs="Arial"/>
        <w:noProof/>
        <w:snapToGrid w:val="0"/>
        <w:sz w:val="22"/>
        <w:szCs w:val="22"/>
      </w:rPr>
      <w:t>4</w:t>
    </w:r>
    <w:r w:rsidRPr="00EF7B9F">
      <w:rPr>
        <w:rFonts w:ascii="Arial" w:hAnsi="Arial" w:cs="Arial"/>
        <w:snapToGrid w:val="0"/>
        <w:sz w:val="22"/>
        <w:szCs w:val="22"/>
      </w:rPr>
      <w:fldChar w:fldCharType="end"/>
    </w:r>
  </w:p>
  <w:p w14:paraId="4EE880A0" w14:textId="77777777" w:rsidR="00471A49" w:rsidRPr="00683C9C" w:rsidRDefault="00471A49" w:rsidP="00683C9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FDDD5" w14:textId="77777777" w:rsidR="00232E43" w:rsidRDefault="00232E43">
      <w:r>
        <w:separator/>
      </w:r>
    </w:p>
  </w:footnote>
  <w:footnote w:type="continuationSeparator" w:id="0">
    <w:p w14:paraId="03570CAF" w14:textId="77777777" w:rsidR="00232E43" w:rsidRDefault="0023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D28AD"/>
    <w:multiLevelType w:val="hybridMultilevel"/>
    <w:tmpl w:val="30FC7AF2"/>
    <w:lvl w:ilvl="0" w:tplc="9A9840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A563F"/>
    <w:multiLevelType w:val="hybridMultilevel"/>
    <w:tmpl w:val="7362F316"/>
    <w:lvl w:ilvl="0" w:tplc="33C809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color w:val="000000"/>
        <w:sz w:val="20"/>
        <w:u w:val="none"/>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574A78BA"/>
    <w:multiLevelType w:val="hybridMultilevel"/>
    <w:tmpl w:val="9650E5AC"/>
    <w:lvl w:ilvl="0" w:tplc="9A9840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B623D"/>
    <w:multiLevelType w:val="hybridMultilevel"/>
    <w:tmpl w:val="17768D1C"/>
    <w:lvl w:ilvl="0" w:tplc="27069FAE">
      <w:numFmt w:val="bullet"/>
      <w:lvlText w:val="•"/>
      <w:lvlJc w:val="left"/>
      <w:pPr>
        <w:ind w:left="720" w:hanging="360"/>
      </w:pPr>
      <w:rPr>
        <w:rFonts w:ascii="SymbolMT" w:eastAsia="Calibri" w:hAnsi="SymbolMT" w:cs="SymbolMT" w:hint="default"/>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F6F89"/>
    <w:multiLevelType w:val="hybridMultilevel"/>
    <w:tmpl w:val="C4823D58"/>
    <w:lvl w:ilvl="0" w:tplc="59741EA8">
      <w:start w:val="1"/>
      <w:numFmt w:val="lowerLetter"/>
      <w:lvlText w:val="%1."/>
      <w:lvlJc w:val="left"/>
      <w:pPr>
        <w:ind w:left="1080" w:hanging="360"/>
      </w:pPr>
      <w:rPr>
        <w:strike w:val="0"/>
      </w:rPr>
    </w:lvl>
    <w:lvl w:ilvl="1" w:tplc="CDF24082">
      <w:start w:val="1"/>
      <w:numFmt w:val="lowerRoman"/>
      <w:lvlText w:val="%2."/>
      <w:lvlJc w:val="righ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color w:val="000000"/>
        <w:sz w:val="20"/>
        <w:u w:val="no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7" w15:restartNumberingAfterBreak="0">
    <w:nsid w:val="7FBA4503"/>
    <w:multiLevelType w:val="hybridMultilevel"/>
    <w:tmpl w:val="30FC8DF6"/>
    <w:lvl w:ilvl="0" w:tplc="9A9840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D4"/>
    <w:rsid w:val="00003F1B"/>
    <w:rsid w:val="00010BE8"/>
    <w:rsid w:val="00012DAC"/>
    <w:rsid w:val="00014107"/>
    <w:rsid w:val="00015691"/>
    <w:rsid w:val="00015A21"/>
    <w:rsid w:val="00015A8F"/>
    <w:rsid w:val="00020D5E"/>
    <w:rsid w:val="0002149F"/>
    <w:rsid w:val="00022849"/>
    <w:rsid w:val="00022C7B"/>
    <w:rsid w:val="000275E1"/>
    <w:rsid w:val="00027DBD"/>
    <w:rsid w:val="0003025F"/>
    <w:rsid w:val="0003078E"/>
    <w:rsid w:val="00030AF8"/>
    <w:rsid w:val="000311CC"/>
    <w:rsid w:val="00034FE4"/>
    <w:rsid w:val="00040A9F"/>
    <w:rsid w:val="00041BC4"/>
    <w:rsid w:val="000430A0"/>
    <w:rsid w:val="00044C4A"/>
    <w:rsid w:val="00047E0B"/>
    <w:rsid w:val="00051A7D"/>
    <w:rsid w:val="000578EA"/>
    <w:rsid w:val="000635D4"/>
    <w:rsid w:val="00063B77"/>
    <w:rsid w:val="00065096"/>
    <w:rsid w:val="00065483"/>
    <w:rsid w:val="00066EB9"/>
    <w:rsid w:val="0007361E"/>
    <w:rsid w:val="0007452F"/>
    <w:rsid w:val="00076889"/>
    <w:rsid w:val="000819E4"/>
    <w:rsid w:val="00081AC1"/>
    <w:rsid w:val="000849CD"/>
    <w:rsid w:val="0008515D"/>
    <w:rsid w:val="00087D04"/>
    <w:rsid w:val="00091629"/>
    <w:rsid w:val="0009197B"/>
    <w:rsid w:val="0009700A"/>
    <w:rsid w:val="000A092A"/>
    <w:rsid w:val="000A09B7"/>
    <w:rsid w:val="000A1CE7"/>
    <w:rsid w:val="000A2DBA"/>
    <w:rsid w:val="000A49EF"/>
    <w:rsid w:val="000A621D"/>
    <w:rsid w:val="000A7D34"/>
    <w:rsid w:val="000B12A4"/>
    <w:rsid w:val="000B3AE4"/>
    <w:rsid w:val="000B5844"/>
    <w:rsid w:val="000B6622"/>
    <w:rsid w:val="000B7086"/>
    <w:rsid w:val="000C0EFB"/>
    <w:rsid w:val="000C2CBA"/>
    <w:rsid w:val="000C3569"/>
    <w:rsid w:val="000D038A"/>
    <w:rsid w:val="000D0A37"/>
    <w:rsid w:val="000D0FC0"/>
    <w:rsid w:val="000D1F29"/>
    <w:rsid w:val="000D5461"/>
    <w:rsid w:val="000E1324"/>
    <w:rsid w:val="000E36E2"/>
    <w:rsid w:val="000E4BD9"/>
    <w:rsid w:val="000E4F0B"/>
    <w:rsid w:val="000E7159"/>
    <w:rsid w:val="000F0D27"/>
    <w:rsid w:val="000F1F2C"/>
    <w:rsid w:val="000F1F69"/>
    <w:rsid w:val="000F26F3"/>
    <w:rsid w:val="000F52E4"/>
    <w:rsid w:val="000F6B43"/>
    <w:rsid w:val="000F720F"/>
    <w:rsid w:val="001017EC"/>
    <w:rsid w:val="00103204"/>
    <w:rsid w:val="00104921"/>
    <w:rsid w:val="00104CA2"/>
    <w:rsid w:val="00106103"/>
    <w:rsid w:val="00111B0A"/>
    <w:rsid w:val="00111CB8"/>
    <w:rsid w:val="00115B22"/>
    <w:rsid w:val="00120764"/>
    <w:rsid w:val="00122155"/>
    <w:rsid w:val="00122230"/>
    <w:rsid w:val="00122E15"/>
    <w:rsid w:val="00122EE4"/>
    <w:rsid w:val="00123F2D"/>
    <w:rsid w:val="00125D70"/>
    <w:rsid w:val="00127453"/>
    <w:rsid w:val="0013261E"/>
    <w:rsid w:val="00132D2E"/>
    <w:rsid w:val="00136F26"/>
    <w:rsid w:val="00137AFD"/>
    <w:rsid w:val="0014166D"/>
    <w:rsid w:val="001441BC"/>
    <w:rsid w:val="00145D96"/>
    <w:rsid w:val="00151418"/>
    <w:rsid w:val="00157CF1"/>
    <w:rsid w:val="001607EB"/>
    <w:rsid w:val="00160CF7"/>
    <w:rsid w:val="001652FC"/>
    <w:rsid w:val="00165D40"/>
    <w:rsid w:val="001707AD"/>
    <w:rsid w:val="00172AF7"/>
    <w:rsid w:val="00173CBD"/>
    <w:rsid w:val="00176397"/>
    <w:rsid w:val="00180F27"/>
    <w:rsid w:val="00183FC4"/>
    <w:rsid w:val="001842C9"/>
    <w:rsid w:val="00184AB9"/>
    <w:rsid w:val="0019028B"/>
    <w:rsid w:val="00192379"/>
    <w:rsid w:val="00195C29"/>
    <w:rsid w:val="00195FB1"/>
    <w:rsid w:val="00196AA4"/>
    <w:rsid w:val="00197F9A"/>
    <w:rsid w:val="001A432E"/>
    <w:rsid w:val="001B1DF9"/>
    <w:rsid w:val="001B2914"/>
    <w:rsid w:val="001B2F75"/>
    <w:rsid w:val="001B4893"/>
    <w:rsid w:val="001B559A"/>
    <w:rsid w:val="001C3F49"/>
    <w:rsid w:val="001D1107"/>
    <w:rsid w:val="001D5130"/>
    <w:rsid w:val="001D519F"/>
    <w:rsid w:val="001E78CB"/>
    <w:rsid w:val="001F30DF"/>
    <w:rsid w:val="001F3C12"/>
    <w:rsid w:val="00200F45"/>
    <w:rsid w:val="002038A9"/>
    <w:rsid w:val="00210C84"/>
    <w:rsid w:val="00212953"/>
    <w:rsid w:val="00215F2A"/>
    <w:rsid w:val="0021679A"/>
    <w:rsid w:val="00220081"/>
    <w:rsid w:val="00220CF0"/>
    <w:rsid w:val="002238F9"/>
    <w:rsid w:val="002254DD"/>
    <w:rsid w:val="00232E43"/>
    <w:rsid w:val="00235B7B"/>
    <w:rsid w:val="00241602"/>
    <w:rsid w:val="0024196E"/>
    <w:rsid w:val="00244102"/>
    <w:rsid w:val="0024439A"/>
    <w:rsid w:val="00250B8E"/>
    <w:rsid w:val="00250B9F"/>
    <w:rsid w:val="00253F22"/>
    <w:rsid w:val="00262182"/>
    <w:rsid w:val="00263F43"/>
    <w:rsid w:val="00281805"/>
    <w:rsid w:val="00283AE9"/>
    <w:rsid w:val="002842B9"/>
    <w:rsid w:val="0028477C"/>
    <w:rsid w:val="00284B97"/>
    <w:rsid w:val="00285601"/>
    <w:rsid w:val="002970F9"/>
    <w:rsid w:val="002A1FF6"/>
    <w:rsid w:val="002A5EB6"/>
    <w:rsid w:val="002A636A"/>
    <w:rsid w:val="002B0140"/>
    <w:rsid w:val="002B04B2"/>
    <w:rsid w:val="002B3FDC"/>
    <w:rsid w:val="002B644D"/>
    <w:rsid w:val="002C08AA"/>
    <w:rsid w:val="002C23B8"/>
    <w:rsid w:val="002C26E1"/>
    <w:rsid w:val="002C7606"/>
    <w:rsid w:val="002D140A"/>
    <w:rsid w:val="002D3B6D"/>
    <w:rsid w:val="002D6756"/>
    <w:rsid w:val="002E2B26"/>
    <w:rsid w:val="002E353D"/>
    <w:rsid w:val="002E3658"/>
    <w:rsid w:val="002F092E"/>
    <w:rsid w:val="002F27BA"/>
    <w:rsid w:val="002F35EF"/>
    <w:rsid w:val="002F3E47"/>
    <w:rsid w:val="002F61E3"/>
    <w:rsid w:val="00301A90"/>
    <w:rsid w:val="0030386C"/>
    <w:rsid w:val="00303FA8"/>
    <w:rsid w:val="003062FA"/>
    <w:rsid w:val="00307A08"/>
    <w:rsid w:val="00307A68"/>
    <w:rsid w:val="00310C29"/>
    <w:rsid w:val="0031193E"/>
    <w:rsid w:val="003125D4"/>
    <w:rsid w:val="00314171"/>
    <w:rsid w:val="0031518F"/>
    <w:rsid w:val="003154E2"/>
    <w:rsid w:val="00316317"/>
    <w:rsid w:val="00317D89"/>
    <w:rsid w:val="003214E1"/>
    <w:rsid w:val="00322572"/>
    <w:rsid w:val="00322784"/>
    <w:rsid w:val="00325BDF"/>
    <w:rsid w:val="00327CF0"/>
    <w:rsid w:val="00331E44"/>
    <w:rsid w:val="00333348"/>
    <w:rsid w:val="0033417B"/>
    <w:rsid w:val="00336C73"/>
    <w:rsid w:val="00340857"/>
    <w:rsid w:val="00340CBA"/>
    <w:rsid w:val="003432F1"/>
    <w:rsid w:val="0034389D"/>
    <w:rsid w:val="003500A2"/>
    <w:rsid w:val="00351315"/>
    <w:rsid w:val="00353689"/>
    <w:rsid w:val="00353B83"/>
    <w:rsid w:val="00362DE9"/>
    <w:rsid w:val="00363ACD"/>
    <w:rsid w:val="0036424F"/>
    <w:rsid w:val="00365798"/>
    <w:rsid w:val="0036595C"/>
    <w:rsid w:val="003672AA"/>
    <w:rsid w:val="00371FD3"/>
    <w:rsid w:val="0037479F"/>
    <w:rsid w:val="00376823"/>
    <w:rsid w:val="003770A9"/>
    <w:rsid w:val="00380A7F"/>
    <w:rsid w:val="0038254A"/>
    <w:rsid w:val="00390691"/>
    <w:rsid w:val="00393759"/>
    <w:rsid w:val="003939C7"/>
    <w:rsid w:val="00393D4A"/>
    <w:rsid w:val="00394FF6"/>
    <w:rsid w:val="00395916"/>
    <w:rsid w:val="00395BDF"/>
    <w:rsid w:val="003962EC"/>
    <w:rsid w:val="003A0315"/>
    <w:rsid w:val="003A3C92"/>
    <w:rsid w:val="003A5E64"/>
    <w:rsid w:val="003B1F69"/>
    <w:rsid w:val="003B2227"/>
    <w:rsid w:val="003B3FD0"/>
    <w:rsid w:val="003C0511"/>
    <w:rsid w:val="003C056A"/>
    <w:rsid w:val="003C0CA6"/>
    <w:rsid w:val="003C2E0A"/>
    <w:rsid w:val="003C35E4"/>
    <w:rsid w:val="003D276D"/>
    <w:rsid w:val="003D79DD"/>
    <w:rsid w:val="003E0CCE"/>
    <w:rsid w:val="003E195F"/>
    <w:rsid w:val="003E2F02"/>
    <w:rsid w:val="003E303E"/>
    <w:rsid w:val="003F13D6"/>
    <w:rsid w:val="003F402C"/>
    <w:rsid w:val="003F43BC"/>
    <w:rsid w:val="003F46D1"/>
    <w:rsid w:val="003F62AB"/>
    <w:rsid w:val="003F6460"/>
    <w:rsid w:val="003F6A2C"/>
    <w:rsid w:val="00404BA5"/>
    <w:rsid w:val="004143EA"/>
    <w:rsid w:val="0041518F"/>
    <w:rsid w:val="00416D58"/>
    <w:rsid w:val="00417B84"/>
    <w:rsid w:val="00422A48"/>
    <w:rsid w:val="00423B84"/>
    <w:rsid w:val="00427AC9"/>
    <w:rsid w:val="00432C1B"/>
    <w:rsid w:val="00435992"/>
    <w:rsid w:val="00436BA2"/>
    <w:rsid w:val="00437C55"/>
    <w:rsid w:val="00441282"/>
    <w:rsid w:val="004421E1"/>
    <w:rsid w:val="00442DB5"/>
    <w:rsid w:val="0044787D"/>
    <w:rsid w:val="00447C77"/>
    <w:rsid w:val="00460BFE"/>
    <w:rsid w:val="00460FE8"/>
    <w:rsid w:val="0046227D"/>
    <w:rsid w:val="004628A4"/>
    <w:rsid w:val="00464176"/>
    <w:rsid w:val="00470F7F"/>
    <w:rsid w:val="004715A3"/>
    <w:rsid w:val="00471A49"/>
    <w:rsid w:val="00472362"/>
    <w:rsid w:val="00476BCD"/>
    <w:rsid w:val="00482B28"/>
    <w:rsid w:val="00482DFB"/>
    <w:rsid w:val="00486A6B"/>
    <w:rsid w:val="00490AD0"/>
    <w:rsid w:val="004935BB"/>
    <w:rsid w:val="00493DF3"/>
    <w:rsid w:val="004957C2"/>
    <w:rsid w:val="00496D14"/>
    <w:rsid w:val="00497A1E"/>
    <w:rsid w:val="004A1CD7"/>
    <w:rsid w:val="004A2C6E"/>
    <w:rsid w:val="004A5F97"/>
    <w:rsid w:val="004B4588"/>
    <w:rsid w:val="004C0061"/>
    <w:rsid w:val="004C2BFC"/>
    <w:rsid w:val="004C63D1"/>
    <w:rsid w:val="004C70EA"/>
    <w:rsid w:val="004C7548"/>
    <w:rsid w:val="004C792C"/>
    <w:rsid w:val="004D1879"/>
    <w:rsid w:val="004D3FAF"/>
    <w:rsid w:val="004E0D2D"/>
    <w:rsid w:val="004E208D"/>
    <w:rsid w:val="004E374E"/>
    <w:rsid w:val="004E3AE0"/>
    <w:rsid w:val="004E438B"/>
    <w:rsid w:val="004F1A88"/>
    <w:rsid w:val="004F3C0C"/>
    <w:rsid w:val="004F73A2"/>
    <w:rsid w:val="004F7B69"/>
    <w:rsid w:val="0050333E"/>
    <w:rsid w:val="005059A5"/>
    <w:rsid w:val="00506CED"/>
    <w:rsid w:val="00507F10"/>
    <w:rsid w:val="00512370"/>
    <w:rsid w:val="0051437E"/>
    <w:rsid w:val="00516112"/>
    <w:rsid w:val="00522F4F"/>
    <w:rsid w:val="005236D3"/>
    <w:rsid w:val="00525C19"/>
    <w:rsid w:val="00531274"/>
    <w:rsid w:val="00532B67"/>
    <w:rsid w:val="00535A64"/>
    <w:rsid w:val="00540E48"/>
    <w:rsid w:val="00542D43"/>
    <w:rsid w:val="005451B2"/>
    <w:rsid w:val="00545F58"/>
    <w:rsid w:val="0055069D"/>
    <w:rsid w:val="00551CC0"/>
    <w:rsid w:val="00552911"/>
    <w:rsid w:val="005550DF"/>
    <w:rsid w:val="005555CC"/>
    <w:rsid w:val="005571DC"/>
    <w:rsid w:val="00560031"/>
    <w:rsid w:val="0056008D"/>
    <w:rsid w:val="0056040D"/>
    <w:rsid w:val="005611DB"/>
    <w:rsid w:val="005614C1"/>
    <w:rsid w:val="005654CA"/>
    <w:rsid w:val="00567151"/>
    <w:rsid w:val="005673EA"/>
    <w:rsid w:val="00570781"/>
    <w:rsid w:val="00572FB1"/>
    <w:rsid w:val="00573995"/>
    <w:rsid w:val="00574C5A"/>
    <w:rsid w:val="00575453"/>
    <w:rsid w:val="0057581B"/>
    <w:rsid w:val="00576332"/>
    <w:rsid w:val="00576AE5"/>
    <w:rsid w:val="0058069B"/>
    <w:rsid w:val="00580B8B"/>
    <w:rsid w:val="00580EA8"/>
    <w:rsid w:val="0058292F"/>
    <w:rsid w:val="0059473A"/>
    <w:rsid w:val="00595F5C"/>
    <w:rsid w:val="005A025A"/>
    <w:rsid w:val="005A0A07"/>
    <w:rsid w:val="005A20E3"/>
    <w:rsid w:val="005A30B9"/>
    <w:rsid w:val="005A5BDC"/>
    <w:rsid w:val="005A6747"/>
    <w:rsid w:val="005A6AAB"/>
    <w:rsid w:val="005A6D3A"/>
    <w:rsid w:val="005A7C62"/>
    <w:rsid w:val="005B0EB7"/>
    <w:rsid w:val="005B4E23"/>
    <w:rsid w:val="005B5AF7"/>
    <w:rsid w:val="005B68BB"/>
    <w:rsid w:val="005C0629"/>
    <w:rsid w:val="005C1A07"/>
    <w:rsid w:val="005C2CC9"/>
    <w:rsid w:val="005C3072"/>
    <w:rsid w:val="005D09BB"/>
    <w:rsid w:val="005D19B9"/>
    <w:rsid w:val="005D1DB7"/>
    <w:rsid w:val="005D2362"/>
    <w:rsid w:val="005D42B4"/>
    <w:rsid w:val="005E2A4E"/>
    <w:rsid w:val="005F33AB"/>
    <w:rsid w:val="005F41EE"/>
    <w:rsid w:val="005F60EE"/>
    <w:rsid w:val="005F621C"/>
    <w:rsid w:val="00600B78"/>
    <w:rsid w:val="006042FA"/>
    <w:rsid w:val="00606EF2"/>
    <w:rsid w:val="00611F85"/>
    <w:rsid w:val="00612B6B"/>
    <w:rsid w:val="0061695C"/>
    <w:rsid w:val="006211A2"/>
    <w:rsid w:val="00623F41"/>
    <w:rsid w:val="00624571"/>
    <w:rsid w:val="00627DDF"/>
    <w:rsid w:val="00632872"/>
    <w:rsid w:val="00637E9D"/>
    <w:rsid w:val="00641297"/>
    <w:rsid w:val="006434FC"/>
    <w:rsid w:val="00645714"/>
    <w:rsid w:val="00647B62"/>
    <w:rsid w:val="00650D5C"/>
    <w:rsid w:val="006514D8"/>
    <w:rsid w:val="00652112"/>
    <w:rsid w:val="00652ADD"/>
    <w:rsid w:val="006558EA"/>
    <w:rsid w:val="006638C1"/>
    <w:rsid w:val="0066407E"/>
    <w:rsid w:val="00666FFD"/>
    <w:rsid w:val="0067177C"/>
    <w:rsid w:val="00671A42"/>
    <w:rsid w:val="00673D50"/>
    <w:rsid w:val="00677B19"/>
    <w:rsid w:val="00680879"/>
    <w:rsid w:val="00683C9C"/>
    <w:rsid w:val="00690509"/>
    <w:rsid w:val="00691505"/>
    <w:rsid w:val="006955C9"/>
    <w:rsid w:val="00696D6B"/>
    <w:rsid w:val="00697619"/>
    <w:rsid w:val="006A3ACA"/>
    <w:rsid w:val="006A43DF"/>
    <w:rsid w:val="006A5994"/>
    <w:rsid w:val="006A7A8D"/>
    <w:rsid w:val="006B2D0E"/>
    <w:rsid w:val="006B4203"/>
    <w:rsid w:val="006B7099"/>
    <w:rsid w:val="006B793F"/>
    <w:rsid w:val="006C4FE0"/>
    <w:rsid w:val="006D060A"/>
    <w:rsid w:val="006D076A"/>
    <w:rsid w:val="006D1A8A"/>
    <w:rsid w:val="006D1C66"/>
    <w:rsid w:val="006D509E"/>
    <w:rsid w:val="006D557A"/>
    <w:rsid w:val="006E29ED"/>
    <w:rsid w:val="006F265D"/>
    <w:rsid w:val="006F36F4"/>
    <w:rsid w:val="006F4D02"/>
    <w:rsid w:val="00700D97"/>
    <w:rsid w:val="00701A94"/>
    <w:rsid w:val="0070225F"/>
    <w:rsid w:val="0070328A"/>
    <w:rsid w:val="00706760"/>
    <w:rsid w:val="00706E43"/>
    <w:rsid w:val="007117BA"/>
    <w:rsid w:val="00711CA9"/>
    <w:rsid w:val="007122D7"/>
    <w:rsid w:val="00712F57"/>
    <w:rsid w:val="00715364"/>
    <w:rsid w:val="00716358"/>
    <w:rsid w:val="00717092"/>
    <w:rsid w:val="007200E0"/>
    <w:rsid w:val="007202CA"/>
    <w:rsid w:val="00723A66"/>
    <w:rsid w:val="007249D5"/>
    <w:rsid w:val="0072724C"/>
    <w:rsid w:val="00730866"/>
    <w:rsid w:val="0073162B"/>
    <w:rsid w:val="00733CF8"/>
    <w:rsid w:val="00735166"/>
    <w:rsid w:val="007361E2"/>
    <w:rsid w:val="00740D59"/>
    <w:rsid w:val="0074209A"/>
    <w:rsid w:val="0074221A"/>
    <w:rsid w:val="00744656"/>
    <w:rsid w:val="00746784"/>
    <w:rsid w:val="007467D8"/>
    <w:rsid w:val="00750462"/>
    <w:rsid w:val="007548B2"/>
    <w:rsid w:val="00756231"/>
    <w:rsid w:val="00757207"/>
    <w:rsid w:val="0076012A"/>
    <w:rsid w:val="00760226"/>
    <w:rsid w:val="007622B6"/>
    <w:rsid w:val="007642D0"/>
    <w:rsid w:val="007647CA"/>
    <w:rsid w:val="00764A24"/>
    <w:rsid w:val="00764CA8"/>
    <w:rsid w:val="00775481"/>
    <w:rsid w:val="00776E7F"/>
    <w:rsid w:val="00776F29"/>
    <w:rsid w:val="007822F5"/>
    <w:rsid w:val="00785081"/>
    <w:rsid w:val="007928CB"/>
    <w:rsid w:val="00793CE3"/>
    <w:rsid w:val="00793FFC"/>
    <w:rsid w:val="007950A4"/>
    <w:rsid w:val="007A0D7E"/>
    <w:rsid w:val="007A0E25"/>
    <w:rsid w:val="007A3B8B"/>
    <w:rsid w:val="007A4C58"/>
    <w:rsid w:val="007A77EE"/>
    <w:rsid w:val="007B398F"/>
    <w:rsid w:val="007C03CB"/>
    <w:rsid w:val="007C3E5A"/>
    <w:rsid w:val="007C4983"/>
    <w:rsid w:val="007C7BB9"/>
    <w:rsid w:val="007C7CF9"/>
    <w:rsid w:val="007E030F"/>
    <w:rsid w:val="007F3270"/>
    <w:rsid w:val="008012D5"/>
    <w:rsid w:val="008029FE"/>
    <w:rsid w:val="008043CC"/>
    <w:rsid w:val="008051F8"/>
    <w:rsid w:val="0080679C"/>
    <w:rsid w:val="00806C51"/>
    <w:rsid w:val="008115AD"/>
    <w:rsid w:val="00813EF3"/>
    <w:rsid w:val="00821425"/>
    <w:rsid w:val="008224FE"/>
    <w:rsid w:val="00825455"/>
    <w:rsid w:val="00826E92"/>
    <w:rsid w:val="00833291"/>
    <w:rsid w:val="00837200"/>
    <w:rsid w:val="00845072"/>
    <w:rsid w:val="00845792"/>
    <w:rsid w:val="00852B9A"/>
    <w:rsid w:val="0085718D"/>
    <w:rsid w:val="00857263"/>
    <w:rsid w:val="00860FC3"/>
    <w:rsid w:val="008650D8"/>
    <w:rsid w:val="0086797F"/>
    <w:rsid w:val="0087202E"/>
    <w:rsid w:val="0087567C"/>
    <w:rsid w:val="00875B44"/>
    <w:rsid w:val="00883B42"/>
    <w:rsid w:val="00886635"/>
    <w:rsid w:val="00887082"/>
    <w:rsid w:val="008921C1"/>
    <w:rsid w:val="00897D17"/>
    <w:rsid w:val="008A1F3E"/>
    <w:rsid w:val="008A638A"/>
    <w:rsid w:val="008A67A9"/>
    <w:rsid w:val="008A6AB8"/>
    <w:rsid w:val="008A7661"/>
    <w:rsid w:val="008B41A8"/>
    <w:rsid w:val="008B55C3"/>
    <w:rsid w:val="008B5A12"/>
    <w:rsid w:val="008B652E"/>
    <w:rsid w:val="008B67E2"/>
    <w:rsid w:val="008C0FF8"/>
    <w:rsid w:val="008C61B0"/>
    <w:rsid w:val="008C663C"/>
    <w:rsid w:val="008D4B8E"/>
    <w:rsid w:val="008D5DAA"/>
    <w:rsid w:val="008D64B9"/>
    <w:rsid w:val="008E3948"/>
    <w:rsid w:val="008E61DF"/>
    <w:rsid w:val="008E6CC2"/>
    <w:rsid w:val="008F1051"/>
    <w:rsid w:val="008F140F"/>
    <w:rsid w:val="008F1419"/>
    <w:rsid w:val="008F23B5"/>
    <w:rsid w:val="008F30B4"/>
    <w:rsid w:val="00902745"/>
    <w:rsid w:val="00904C7E"/>
    <w:rsid w:val="0090730E"/>
    <w:rsid w:val="0091170E"/>
    <w:rsid w:val="00912778"/>
    <w:rsid w:val="00912BD1"/>
    <w:rsid w:val="009153E5"/>
    <w:rsid w:val="009157CC"/>
    <w:rsid w:val="00915EA4"/>
    <w:rsid w:val="00924C6E"/>
    <w:rsid w:val="00925816"/>
    <w:rsid w:val="009265AC"/>
    <w:rsid w:val="009274DE"/>
    <w:rsid w:val="009303B9"/>
    <w:rsid w:val="00930AF2"/>
    <w:rsid w:val="00931A39"/>
    <w:rsid w:val="00931A92"/>
    <w:rsid w:val="0093496A"/>
    <w:rsid w:val="009406B3"/>
    <w:rsid w:val="0094254F"/>
    <w:rsid w:val="00945467"/>
    <w:rsid w:val="00947770"/>
    <w:rsid w:val="009523B1"/>
    <w:rsid w:val="00955D14"/>
    <w:rsid w:val="00966690"/>
    <w:rsid w:val="009667F6"/>
    <w:rsid w:val="00970D49"/>
    <w:rsid w:val="00971F2A"/>
    <w:rsid w:val="009729A7"/>
    <w:rsid w:val="00973C3F"/>
    <w:rsid w:val="00976D21"/>
    <w:rsid w:val="00982152"/>
    <w:rsid w:val="00982F05"/>
    <w:rsid w:val="00983106"/>
    <w:rsid w:val="00987720"/>
    <w:rsid w:val="00991D89"/>
    <w:rsid w:val="00992197"/>
    <w:rsid w:val="00992D66"/>
    <w:rsid w:val="009A07BB"/>
    <w:rsid w:val="009A080D"/>
    <w:rsid w:val="009A178B"/>
    <w:rsid w:val="009A2700"/>
    <w:rsid w:val="009A6694"/>
    <w:rsid w:val="009B2F77"/>
    <w:rsid w:val="009B3136"/>
    <w:rsid w:val="009B7B6A"/>
    <w:rsid w:val="009C1E89"/>
    <w:rsid w:val="009C2170"/>
    <w:rsid w:val="009C2752"/>
    <w:rsid w:val="009C5688"/>
    <w:rsid w:val="009C5E61"/>
    <w:rsid w:val="009D0BCD"/>
    <w:rsid w:val="009D1199"/>
    <w:rsid w:val="009D23CC"/>
    <w:rsid w:val="009D3B84"/>
    <w:rsid w:val="009E27B3"/>
    <w:rsid w:val="009E37B9"/>
    <w:rsid w:val="009E3868"/>
    <w:rsid w:val="009E67EC"/>
    <w:rsid w:val="009E70E2"/>
    <w:rsid w:val="009F032D"/>
    <w:rsid w:val="009F1292"/>
    <w:rsid w:val="009F619D"/>
    <w:rsid w:val="009F7DD9"/>
    <w:rsid w:val="00A01E29"/>
    <w:rsid w:val="00A03893"/>
    <w:rsid w:val="00A06B47"/>
    <w:rsid w:val="00A07AC8"/>
    <w:rsid w:val="00A10165"/>
    <w:rsid w:val="00A103A6"/>
    <w:rsid w:val="00A15237"/>
    <w:rsid w:val="00A17AF8"/>
    <w:rsid w:val="00A250CE"/>
    <w:rsid w:val="00A32787"/>
    <w:rsid w:val="00A3399F"/>
    <w:rsid w:val="00A36482"/>
    <w:rsid w:val="00A45064"/>
    <w:rsid w:val="00A46099"/>
    <w:rsid w:val="00A46A97"/>
    <w:rsid w:val="00A70210"/>
    <w:rsid w:val="00A73087"/>
    <w:rsid w:val="00A83681"/>
    <w:rsid w:val="00A83922"/>
    <w:rsid w:val="00A84329"/>
    <w:rsid w:val="00A85D93"/>
    <w:rsid w:val="00A8744C"/>
    <w:rsid w:val="00A907F2"/>
    <w:rsid w:val="00A93632"/>
    <w:rsid w:val="00A960B0"/>
    <w:rsid w:val="00AA6E49"/>
    <w:rsid w:val="00AB16D7"/>
    <w:rsid w:val="00AB2E4A"/>
    <w:rsid w:val="00AB3498"/>
    <w:rsid w:val="00AB4081"/>
    <w:rsid w:val="00AB5FB8"/>
    <w:rsid w:val="00AC09C7"/>
    <w:rsid w:val="00AC0BC9"/>
    <w:rsid w:val="00AC2B45"/>
    <w:rsid w:val="00AC3985"/>
    <w:rsid w:val="00AC48BF"/>
    <w:rsid w:val="00AC4E25"/>
    <w:rsid w:val="00AC540A"/>
    <w:rsid w:val="00AD4FBF"/>
    <w:rsid w:val="00AE2682"/>
    <w:rsid w:val="00AE5ECA"/>
    <w:rsid w:val="00AE6282"/>
    <w:rsid w:val="00AE7199"/>
    <w:rsid w:val="00AF2A70"/>
    <w:rsid w:val="00AF2D29"/>
    <w:rsid w:val="00AF32DD"/>
    <w:rsid w:val="00AF5A21"/>
    <w:rsid w:val="00AF6F60"/>
    <w:rsid w:val="00B00747"/>
    <w:rsid w:val="00B00D63"/>
    <w:rsid w:val="00B00FB7"/>
    <w:rsid w:val="00B0161B"/>
    <w:rsid w:val="00B02C65"/>
    <w:rsid w:val="00B05454"/>
    <w:rsid w:val="00B05AAC"/>
    <w:rsid w:val="00B121AE"/>
    <w:rsid w:val="00B1347C"/>
    <w:rsid w:val="00B1384E"/>
    <w:rsid w:val="00B16A5C"/>
    <w:rsid w:val="00B17E07"/>
    <w:rsid w:val="00B20443"/>
    <w:rsid w:val="00B22579"/>
    <w:rsid w:val="00B267C1"/>
    <w:rsid w:val="00B3277C"/>
    <w:rsid w:val="00B335F8"/>
    <w:rsid w:val="00B353BC"/>
    <w:rsid w:val="00B35823"/>
    <w:rsid w:val="00B37AF0"/>
    <w:rsid w:val="00B4180B"/>
    <w:rsid w:val="00B43528"/>
    <w:rsid w:val="00B43597"/>
    <w:rsid w:val="00B43B4F"/>
    <w:rsid w:val="00B4410C"/>
    <w:rsid w:val="00B4591B"/>
    <w:rsid w:val="00B47569"/>
    <w:rsid w:val="00B51562"/>
    <w:rsid w:val="00B57214"/>
    <w:rsid w:val="00B60651"/>
    <w:rsid w:val="00B62EBF"/>
    <w:rsid w:val="00B6303D"/>
    <w:rsid w:val="00B63131"/>
    <w:rsid w:val="00B64151"/>
    <w:rsid w:val="00B72C8F"/>
    <w:rsid w:val="00B745A9"/>
    <w:rsid w:val="00B81AE7"/>
    <w:rsid w:val="00B81B3A"/>
    <w:rsid w:val="00B827F6"/>
    <w:rsid w:val="00B86B29"/>
    <w:rsid w:val="00B90B12"/>
    <w:rsid w:val="00B92955"/>
    <w:rsid w:val="00B942A9"/>
    <w:rsid w:val="00B943CF"/>
    <w:rsid w:val="00BA17C9"/>
    <w:rsid w:val="00BA2254"/>
    <w:rsid w:val="00BA4A82"/>
    <w:rsid w:val="00BA4EE4"/>
    <w:rsid w:val="00BB0744"/>
    <w:rsid w:val="00BB23B6"/>
    <w:rsid w:val="00BB43F8"/>
    <w:rsid w:val="00BC2C6B"/>
    <w:rsid w:val="00BC3CCB"/>
    <w:rsid w:val="00BC417A"/>
    <w:rsid w:val="00BC501E"/>
    <w:rsid w:val="00BC55EC"/>
    <w:rsid w:val="00BC60F0"/>
    <w:rsid w:val="00BD629A"/>
    <w:rsid w:val="00BD7206"/>
    <w:rsid w:val="00BE34B3"/>
    <w:rsid w:val="00BE7CB6"/>
    <w:rsid w:val="00BF0462"/>
    <w:rsid w:val="00BF6654"/>
    <w:rsid w:val="00C000FB"/>
    <w:rsid w:val="00C016C2"/>
    <w:rsid w:val="00C021BF"/>
    <w:rsid w:val="00C03190"/>
    <w:rsid w:val="00C13A24"/>
    <w:rsid w:val="00C207C1"/>
    <w:rsid w:val="00C211ED"/>
    <w:rsid w:val="00C2330F"/>
    <w:rsid w:val="00C410B3"/>
    <w:rsid w:val="00C4246E"/>
    <w:rsid w:val="00C46694"/>
    <w:rsid w:val="00C506F8"/>
    <w:rsid w:val="00C521DD"/>
    <w:rsid w:val="00C52473"/>
    <w:rsid w:val="00C54445"/>
    <w:rsid w:val="00C55308"/>
    <w:rsid w:val="00C6487A"/>
    <w:rsid w:val="00C66568"/>
    <w:rsid w:val="00C710C6"/>
    <w:rsid w:val="00C72376"/>
    <w:rsid w:val="00C7602F"/>
    <w:rsid w:val="00C76248"/>
    <w:rsid w:val="00C76A3D"/>
    <w:rsid w:val="00C77382"/>
    <w:rsid w:val="00C779DC"/>
    <w:rsid w:val="00C80035"/>
    <w:rsid w:val="00C81612"/>
    <w:rsid w:val="00C84947"/>
    <w:rsid w:val="00C85025"/>
    <w:rsid w:val="00C85397"/>
    <w:rsid w:val="00C90551"/>
    <w:rsid w:val="00C9126E"/>
    <w:rsid w:val="00C92584"/>
    <w:rsid w:val="00C949D5"/>
    <w:rsid w:val="00C963FD"/>
    <w:rsid w:val="00C97AAB"/>
    <w:rsid w:val="00CA078C"/>
    <w:rsid w:val="00CA591E"/>
    <w:rsid w:val="00CB0C6C"/>
    <w:rsid w:val="00CB0D33"/>
    <w:rsid w:val="00CC19E5"/>
    <w:rsid w:val="00CC3300"/>
    <w:rsid w:val="00CC7E92"/>
    <w:rsid w:val="00CD3D7C"/>
    <w:rsid w:val="00CD5515"/>
    <w:rsid w:val="00CE1EBE"/>
    <w:rsid w:val="00CE32B9"/>
    <w:rsid w:val="00CE6A18"/>
    <w:rsid w:val="00CE7321"/>
    <w:rsid w:val="00CF0B4B"/>
    <w:rsid w:val="00CF1E06"/>
    <w:rsid w:val="00CF2FB3"/>
    <w:rsid w:val="00CF661D"/>
    <w:rsid w:val="00D02830"/>
    <w:rsid w:val="00D029C8"/>
    <w:rsid w:val="00D03EEE"/>
    <w:rsid w:val="00D04591"/>
    <w:rsid w:val="00D1069B"/>
    <w:rsid w:val="00D12F41"/>
    <w:rsid w:val="00D1707C"/>
    <w:rsid w:val="00D174F8"/>
    <w:rsid w:val="00D17D99"/>
    <w:rsid w:val="00D258D6"/>
    <w:rsid w:val="00D25926"/>
    <w:rsid w:val="00D2652D"/>
    <w:rsid w:val="00D27A50"/>
    <w:rsid w:val="00D32EC9"/>
    <w:rsid w:val="00D33F6F"/>
    <w:rsid w:val="00D349E0"/>
    <w:rsid w:val="00D50AA4"/>
    <w:rsid w:val="00D537FC"/>
    <w:rsid w:val="00D54FE5"/>
    <w:rsid w:val="00D55B8C"/>
    <w:rsid w:val="00D56C52"/>
    <w:rsid w:val="00D57888"/>
    <w:rsid w:val="00D5789B"/>
    <w:rsid w:val="00D57E5E"/>
    <w:rsid w:val="00D63AAC"/>
    <w:rsid w:val="00D63D57"/>
    <w:rsid w:val="00D65F6B"/>
    <w:rsid w:val="00D66F0C"/>
    <w:rsid w:val="00D72B9D"/>
    <w:rsid w:val="00D74ACC"/>
    <w:rsid w:val="00D83003"/>
    <w:rsid w:val="00D86EFA"/>
    <w:rsid w:val="00D92650"/>
    <w:rsid w:val="00DA2659"/>
    <w:rsid w:val="00DA3415"/>
    <w:rsid w:val="00DB0954"/>
    <w:rsid w:val="00DB3753"/>
    <w:rsid w:val="00DB3A72"/>
    <w:rsid w:val="00DB616C"/>
    <w:rsid w:val="00DC09D7"/>
    <w:rsid w:val="00DC0E9C"/>
    <w:rsid w:val="00DC16AA"/>
    <w:rsid w:val="00DC320C"/>
    <w:rsid w:val="00DC3C7B"/>
    <w:rsid w:val="00DC4A5D"/>
    <w:rsid w:val="00DC4B36"/>
    <w:rsid w:val="00DC5394"/>
    <w:rsid w:val="00DC6C3C"/>
    <w:rsid w:val="00DC723D"/>
    <w:rsid w:val="00DC727F"/>
    <w:rsid w:val="00DD02E7"/>
    <w:rsid w:val="00DD28AC"/>
    <w:rsid w:val="00DD649C"/>
    <w:rsid w:val="00DD7158"/>
    <w:rsid w:val="00DE3334"/>
    <w:rsid w:val="00DE43E3"/>
    <w:rsid w:val="00DE6678"/>
    <w:rsid w:val="00DF4C20"/>
    <w:rsid w:val="00DF6284"/>
    <w:rsid w:val="00DF7530"/>
    <w:rsid w:val="00E0174F"/>
    <w:rsid w:val="00E03048"/>
    <w:rsid w:val="00E0462C"/>
    <w:rsid w:val="00E05C1C"/>
    <w:rsid w:val="00E112AF"/>
    <w:rsid w:val="00E12D9C"/>
    <w:rsid w:val="00E13C88"/>
    <w:rsid w:val="00E14E6F"/>
    <w:rsid w:val="00E164FA"/>
    <w:rsid w:val="00E201AF"/>
    <w:rsid w:val="00E214EB"/>
    <w:rsid w:val="00E253CF"/>
    <w:rsid w:val="00E265F4"/>
    <w:rsid w:val="00E26808"/>
    <w:rsid w:val="00E319A4"/>
    <w:rsid w:val="00E330BB"/>
    <w:rsid w:val="00E36E7D"/>
    <w:rsid w:val="00E40CAF"/>
    <w:rsid w:val="00E45018"/>
    <w:rsid w:val="00E467D1"/>
    <w:rsid w:val="00E50CA8"/>
    <w:rsid w:val="00E52485"/>
    <w:rsid w:val="00E52A0A"/>
    <w:rsid w:val="00E545AF"/>
    <w:rsid w:val="00E60C5D"/>
    <w:rsid w:val="00E65CB2"/>
    <w:rsid w:val="00E708C6"/>
    <w:rsid w:val="00E75476"/>
    <w:rsid w:val="00E76E14"/>
    <w:rsid w:val="00E83517"/>
    <w:rsid w:val="00E8583E"/>
    <w:rsid w:val="00E91752"/>
    <w:rsid w:val="00E927B0"/>
    <w:rsid w:val="00E97C60"/>
    <w:rsid w:val="00EA482A"/>
    <w:rsid w:val="00EA59AA"/>
    <w:rsid w:val="00EA7112"/>
    <w:rsid w:val="00EB260F"/>
    <w:rsid w:val="00EB4BB0"/>
    <w:rsid w:val="00EB512A"/>
    <w:rsid w:val="00EB6570"/>
    <w:rsid w:val="00EB740E"/>
    <w:rsid w:val="00EC0608"/>
    <w:rsid w:val="00EC1845"/>
    <w:rsid w:val="00EC271E"/>
    <w:rsid w:val="00EC30DC"/>
    <w:rsid w:val="00EC5EE0"/>
    <w:rsid w:val="00EC62F1"/>
    <w:rsid w:val="00EC62F2"/>
    <w:rsid w:val="00EC72BC"/>
    <w:rsid w:val="00ED109A"/>
    <w:rsid w:val="00ED5DD3"/>
    <w:rsid w:val="00EE03CD"/>
    <w:rsid w:val="00EE57C6"/>
    <w:rsid w:val="00EE695E"/>
    <w:rsid w:val="00EF0456"/>
    <w:rsid w:val="00EF19A5"/>
    <w:rsid w:val="00EF1C30"/>
    <w:rsid w:val="00EF6C4A"/>
    <w:rsid w:val="00EF78CA"/>
    <w:rsid w:val="00EF7B9F"/>
    <w:rsid w:val="00F0186C"/>
    <w:rsid w:val="00F06E31"/>
    <w:rsid w:val="00F12A06"/>
    <w:rsid w:val="00F153A7"/>
    <w:rsid w:val="00F2291B"/>
    <w:rsid w:val="00F238B6"/>
    <w:rsid w:val="00F25D85"/>
    <w:rsid w:val="00F31497"/>
    <w:rsid w:val="00F35847"/>
    <w:rsid w:val="00F37194"/>
    <w:rsid w:val="00F373FE"/>
    <w:rsid w:val="00F37AF0"/>
    <w:rsid w:val="00F37D9A"/>
    <w:rsid w:val="00F40596"/>
    <w:rsid w:val="00F40669"/>
    <w:rsid w:val="00F45A6E"/>
    <w:rsid w:val="00F50262"/>
    <w:rsid w:val="00F50C18"/>
    <w:rsid w:val="00F51B93"/>
    <w:rsid w:val="00F525DF"/>
    <w:rsid w:val="00F56E8D"/>
    <w:rsid w:val="00F57099"/>
    <w:rsid w:val="00F5731A"/>
    <w:rsid w:val="00F61669"/>
    <w:rsid w:val="00F630E3"/>
    <w:rsid w:val="00F646AB"/>
    <w:rsid w:val="00F66D0E"/>
    <w:rsid w:val="00F67D08"/>
    <w:rsid w:val="00F67F0C"/>
    <w:rsid w:val="00F717F1"/>
    <w:rsid w:val="00F72B92"/>
    <w:rsid w:val="00F74CFB"/>
    <w:rsid w:val="00F754B1"/>
    <w:rsid w:val="00F83483"/>
    <w:rsid w:val="00F8433F"/>
    <w:rsid w:val="00F84835"/>
    <w:rsid w:val="00F863A4"/>
    <w:rsid w:val="00F879C6"/>
    <w:rsid w:val="00F97C7B"/>
    <w:rsid w:val="00FA3B95"/>
    <w:rsid w:val="00FA4346"/>
    <w:rsid w:val="00FA48F9"/>
    <w:rsid w:val="00FA57E6"/>
    <w:rsid w:val="00FA7626"/>
    <w:rsid w:val="00FB0BC4"/>
    <w:rsid w:val="00FB362B"/>
    <w:rsid w:val="00FB3650"/>
    <w:rsid w:val="00FB423C"/>
    <w:rsid w:val="00FB5493"/>
    <w:rsid w:val="00FB5D6E"/>
    <w:rsid w:val="00FC1BB2"/>
    <w:rsid w:val="00FC5A0F"/>
    <w:rsid w:val="00FD144A"/>
    <w:rsid w:val="00FD174B"/>
    <w:rsid w:val="00FD1C16"/>
    <w:rsid w:val="00FE0E49"/>
    <w:rsid w:val="00FE237F"/>
    <w:rsid w:val="00FE36B5"/>
    <w:rsid w:val="00FF03C2"/>
    <w:rsid w:val="00FF2E11"/>
    <w:rsid w:val="00FF55FA"/>
    <w:rsid w:val="00FF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5FBDE"/>
  <w15:chartTrackingRefBased/>
  <w15:docId w15:val="{178F167E-B26C-44CB-8A8C-A62FF175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7F"/>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Cs/>
      <w:sz w:val="28"/>
    </w:rPr>
  </w:style>
  <w:style w:type="paragraph" w:styleId="Heading3">
    <w:name w:val="heading 3"/>
    <w:basedOn w:val="Normal"/>
    <w:next w:val="Normal"/>
    <w:qFormat/>
    <w:pPr>
      <w:keepNext/>
      <w:ind w:left="720" w:right="720"/>
      <w:outlineLvl w:val="2"/>
    </w:pPr>
    <w:rPr>
      <w:b/>
    </w:rPr>
  </w:style>
  <w:style w:type="paragraph" w:styleId="Heading4">
    <w:name w:val="heading 4"/>
    <w:basedOn w:val="Normal"/>
    <w:next w:val="Normal"/>
    <w:link w:val="Heading4Char"/>
    <w:qFormat/>
    <w:pPr>
      <w:keepNext/>
      <w:ind w:left="720" w:right="720"/>
      <w:outlineLvl w:val="3"/>
    </w:pPr>
    <w:rPr>
      <w:u w:val="single"/>
    </w:rPr>
  </w:style>
  <w:style w:type="paragraph" w:styleId="Heading5">
    <w:name w:val="heading 5"/>
    <w:basedOn w:val="Normal"/>
    <w:next w:val="Normal"/>
    <w:link w:val="Heading5Char"/>
    <w:uiPriority w:val="9"/>
    <w:unhideWhenUsed/>
    <w:qFormat/>
    <w:rsid w:val="000311CC"/>
    <w:pPr>
      <w:spacing w:before="240" w:after="60"/>
      <w:outlineLvl w:val="4"/>
    </w:pPr>
    <w:rPr>
      <w:rFonts w:ascii="Calibri" w:hAnsi="Calibri"/>
      <w:b/>
      <w:bCs/>
      <w:i/>
      <w:iCs/>
      <w:sz w:val="26"/>
      <w:szCs w:val="26"/>
    </w:rPr>
  </w:style>
  <w:style w:type="paragraph" w:styleId="Heading7">
    <w:name w:val="heading 7"/>
    <w:basedOn w:val="Normal"/>
    <w:next w:val="Normal"/>
    <w:qFormat/>
    <w:rsid w:val="006F36F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Title">
    <w:name w:val="Title"/>
    <w:basedOn w:val="Normal"/>
    <w:qFormat/>
    <w:pPr>
      <w:jc w:val="center"/>
    </w:pPr>
    <w:rPr>
      <w:b/>
      <w:bCs/>
      <w:sz w:val="28"/>
    </w:rPr>
  </w:style>
  <w:style w:type="paragraph" w:styleId="BodyTextIndent">
    <w:name w:val="Body Text Indent"/>
    <w:basedOn w:val="Normal"/>
    <w:pPr>
      <w:ind w:left="720"/>
    </w:pPr>
    <w:rPr>
      <w:i/>
      <w:sz w:val="22"/>
      <w:u w:val="single"/>
    </w:rPr>
  </w:style>
  <w:style w:type="paragraph" w:styleId="BlockText">
    <w:name w:val="Block Text"/>
    <w:basedOn w:val="Normal"/>
    <w:pPr>
      <w:ind w:left="720" w:righ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ext">
    <w:name w:val="text"/>
    <w:pPr>
      <w:overflowPunct w:val="0"/>
      <w:autoSpaceDE w:val="0"/>
      <w:autoSpaceDN w:val="0"/>
      <w:adjustRightInd w:val="0"/>
      <w:spacing w:line="240" w:lineRule="exact"/>
      <w:jc w:val="both"/>
      <w:textAlignment w:val="baseline"/>
    </w:pPr>
    <w:rPr>
      <w:rFonts w:ascii="Times" w:hAnsi="Times"/>
      <w:noProof/>
    </w:rPr>
  </w:style>
  <w:style w:type="paragraph" w:styleId="BodyTextIndent2">
    <w:name w:val="Body Text Indent 2"/>
    <w:basedOn w:val="Normal"/>
    <w:pPr>
      <w:ind w:left="1080"/>
    </w:pPr>
  </w:style>
  <w:style w:type="paragraph" w:styleId="BodyText3">
    <w:name w:val="Body Text 3"/>
    <w:basedOn w:val="Normal"/>
    <w:link w:val="BodyText3Char"/>
    <w:rPr>
      <w:i/>
      <w:iCs/>
      <w:sz w:val="22"/>
    </w:rPr>
  </w:style>
  <w:style w:type="paragraph" w:styleId="BodyText">
    <w:name w:val="Body Text"/>
    <w:basedOn w:val="Normal"/>
    <w:link w:val="BodyTextChar"/>
    <w:rPr>
      <w:sz w:val="22"/>
    </w:rPr>
  </w:style>
  <w:style w:type="character" w:customStyle="1" w:styleId="BodyTextChar">
    <w:name w:val="Body Text Char"/>
    <w:link w:val="BodyText"/>
    <w:rsid w:val="00902745"/>
    <w:rPr>
      <w:sz w:val="22"/>
      <w:lang w:val="en-US" w:eastAsia="en-US" w:bidi="ar-SA"/>
    </w:rPr>
  </w:style>
  <w:style w:type="character" w:customStyle="1" w:styleId="BodyText3Char">
    <w:name w:val="Body Text 3 Char"/>
    <w:link w:val="BodyText3"/>
    <w:rsid w:val="00902745"/>
    <w:rPr>
      <w:i/>
      <w:iCs/>
      <w:sz w:val="22"/>
      <w:lang w:val="en-US" w:eastAsia="en-US" w:bidi="ar-SA"/>
    </w:rPr>
  </w:style>
  <w:style w:type="paragraph" w:styleId="BalloonText">
    <w:name w:val="Balloon Text"/>
    <w:basedOn w:val="Normal"/>
    <w:link w:val="BalloonTextChar"/>
    <w:uiPriority w:val="99"/>
    <w:semiHidden/>
    <w:unhideWhenUsed/>
    <w:rsid w:val="00482B28"/>
    <w:rPr>
      <w:rFonts w:ascii="Tahoma" w:hAnsi="Tahoma" w:cs="Tahoma"/>
      <w:sz w:val="16"/>
      <w:szCs w:val="16"/>
    </w:rPr>
  </w:style>
  <w:style w:type="character" w:customStyle="1" w:styleId="BalloonTextChar">
    <w:name w:val="Balloon Text Char"/>
    <w:link w:val="BalloonText"/>
    <w:uiPriority w:val="99"/>
    <w:semiHidden/>
    <w:rsid w:val="00482B28"/>
    <w:rPr>
      <w:rFonts w:ascii="Tahoma" w:hAnsi="Tahoma" w:cs="Tahoma"/>
      <w:sz w:val="16"/>
      <w:szCs w:val="16"/>
    </w:rPr>
  </w:style>
  <w:style w:type="character" w:styleId="Hyperlink">
    <w:name w:val="Hyperlink"/>
    <w:uiPriority w:val="99"/>
    <w:unhideWhenUsed/>
    <w:rsid w:val="008D5DAA"/>
    <w:rPr>
      <w:color w:val="0000FF"/>
      <w:u w:val="single"/>
    </w:rPr>
  </w:style>
  <w:style w:type="character" w:customStyle="1" w:styleId="HeaderChar">
    <w:name w:val="Header Char"/>
    <w:link w:val="Header"/>
    <w:uiPriority w:val="99"/>
    <w:rsid w:val="009A178B"/>
    <w:rPr>
      <w:sz w:val="24"/>
    </w:rPr>
  </w:style>
  <w:style w:type="character" w:customStyle="1" w:styleId="FooterChar">
    <w:name w:val="Footer Char"/>
    <w:link w:val="Footer"/>
    <w:uiPriority w:val="99"/>
    <w:rsid w:val="009A178B"/>
    <w:rPr>
      <w:sz w:val="24"/>
    </w:rPr>
  </w:style>
  <w:style w:type="character" w:customStyle="1" w:styleId="Heading5Char">
    <w:name w:val="Heading 5 Char"/>
    <w:link w:val="Heading5"/>
    <w:uiPriority w:val="9"/>
    <w:rsid w:val="000311CC"/>
    <w:rPr>
      <w:rFonts w:ascii="Calibri" w:eastAsia="Times New Roman" w:hAnsi="Calibri" w:cs="Times New Roman"/>
      <w:b/>
      <w:bCs/>
      <w:i/>
      <w:iCs/>
      <w:sz w:val="26"/>
      <w:szCs w:val="26"/>
    </w:rPr>
  </w:style>
  <w:style w:type="character" w:customStyle="1" w:styleId="Heading4Char">
    <w:name w:val="Heading 4 Char"/>
    <w:link w:val="Heading4"/>
    <w:rsid w:val="0059473A"/>
    <w:rPr>
      <w:sz w:val="24"/>
      <w:u w:val="single"/>
    </w:rPr>
  </w:style>
  <w:style w:type="paragraph" w:styleId="BodyTextIndent3">
    <w:name w:val="Body Text Indent 3"/>
    <w:basedOn w:val="Normal"/>
    <w:link w:val="BodyTextIndent3Char"/>
    <w:uiPriority w:val="99"/>
    <w:semiHidden/>
    <w:unhideWhenUsed/>
    <w:rsid w:val="00104CA2"/>
    <w:pPr>
      <w:spacing w:after="120"/>
      <w:ind w:left="360"/>
    </w:pPr>
    <w:rPr>
      <w:sz w:val="16"/>
      <w:szCs w:val="16"/>
    </w:rPr>
  </w:style>
  <w:style w:type="character" w:customStyle="1" w:styleId="BodyTextIndent3Char">
    <w:name w:val="Body Text Indent 3 Char"/>
    <w:link w:val="BodyTextIndent3"/>
    <w:uiPriority w:val="99"/>
    <w:semiHidden/>
    <w:rsid w:val="00104CA2"/>
    <w:rPr>
      <w:sz w:val="16"/>
      <w:szCs w:val="16"/>
    </w:rPr>
  </w:style>
  <w:style w:type="paragraph" w:styleId="ListParagraph">
    <w:name w:val="List Paragraph"/>
    <w:basedOn w:val="Normal"/>
    <w:uiPriority w:val="34"/>
    <w:qFormat/>
    <w:rsid w:val="00390691"/>
    <w:pPr>
      <w:ind w:left="720"/>
    </w:pPr>
  </w:style>
  <w:style w:type="character" w:customStyle="1" w:styleId="Bold-Red-11">
    <w:name w:val="Bold-Red-11"/>
    <w:uiPriority w:val="1"/>
    <w:qFormat/>
    <w:rsid w:val="00B943CF"/>
    <w:rPr>
      <w:rFonts w:ascii="Calibri" w:hAnsi="Calibri" w:hint="default"/>
      <w:b/>
      <w:bCs/>
      <w:i w:val="0"/>
      <w:iCs w:val="0"/>
      <w:color w:val="FF0000"/>
    </w:rPr>
  </w:style>
  <w:style w:type="paragraph" w:customStyle="1" w:styleId="Notenumber">
    <w:name w:val="Note number"/>
    <w:basedOn w:val="Normal"/>
    <w:qFormat/>
    <w:rsid w:val="00AB16D7"/>
    <w:pPr>
      <w:keepLines/>
      <w:suppressAutoHyphens/>
      <w:spacing w:after="180"/>
      <w:ind w:left="720" w:hanging="720"/>
    </w:pPr>
    <w:rPr>
      <w:rFonts w:ascii="Calibri" w:eastAsia="MS Mincho" w:hAnsi="Calibri"/>
      <w:sz w:val="22"/>
      <w:szCs w:val="22"/>
    </w:rPr>
  </w:style>
  <w:style w:type="paragraph" w:customStyle="1" w:styleId="letterlistindented">
    <w:name w:val="letter list indented"/>
    <w:basedOn w:val="Normal"/>
    <w:qFormat/>
    <w:rsid w:val="00B02C65"/>
    <w:pPr>
      <w:keepLines/>
      <w:suppressAutoHyphens/>
      <w:spacing w:after="180"/>
      <w:ind w:left="288" w:hanging="288"/>
    </w:pPr>
    <w:rPr>
      <w:rFonts w:ascii="Calibri" w:eastAsia="MS Mincho" w:hAnsi="Calibri"/>
      <w:sz w:val="22"/>
      <w:szCs w:val="24"/>
    </w:rPr>
  </w:style>
  <w:style w:type="paragraph" w:customStyle="1" w:styleId="SmallerSubhead">
    <w:name w:val="Smaller Subhead"/>
    <w:basedOn w:val="Normal"/>
    <w:qFormat/>
    <w:rsid w:val="00B02C65"/>
    <w:pPr>
      <w:keepNext/>
      <w:keepLines/>
      <w:widowControl w:val="0"/>
      <w:suppressAutoHyphens/>
      <w:autoSpaceDE w:val="0"/>
      <w:autoSpaceDN w:val="0"/>
      <w:adjustRightInd w:val="0"/>
      <w:textAlignment w:val="center"/>
    </w:pPr>
    <w:rPr>
      <w:rFonts w:ascii="Calibri" w:eastAsia="MS Mincho" w:hAnsi="Calibri" w:cs="Helvetica-Bold"/>
      <w:b/>
      <w:bCs/>
      <w:color w:val="000000"/>
      <w:szCs w:val="24"/>
      <w:lang w:eastAsia="ja-JP"/>
    </w:rPr>
  </w:style>
  <w:style w:type="paragraph" w:customStyle="1" w:styleId="Subhead">
    <w:name w:val="Subhead"/>
    <w:basedOn w:val="Normal"/>
    <w:qFormat/>
    <w:rsid w:val="00B02C65"/>
    <w:pPr>
      <w:keepNext/>
      <w:keepLines/>
      <w:widowControl w:val="0"/>
      <w:suppressAutoHyphens/>
      <w:autoSpaceDE w:val="0"/>
      <w:autoSpaceDN w:val="0"/>
      <w:adjustRightInd w:val="0"/>
      <w:spacing w:after="180"/>
      <w:textAlignment w:val="center"/>
    </w:pPr>
    <w:rPr>
      <w:rFonts w:ascii="Calibri" w:eastAsia="MS Mincho" w:hAnsi="Calibri" w:cs="Helvetica-Bold"/>
      <w:b/>
      <w:bCs/>
      <w:color w:val="000000"/>
      <w:sz w:val="32"/>
      <w:szCs w:val="22"/>
      <w:lang w:eastAsia="ja-JP"/>
    </w:rPr>
  </w:style>
  <w:style w:type="paragraph" w:customStyle="1" w:styleId="Bodynospace">
    <w:name w:val="Body nospace"/>
    <w:basedOn w:val="Normal"/>
    <w:rsid w:val="008B55C3"/>
    <w:pPr>
      <w:keepLines/>
      <w:suppressAutoHyphens/>
    </w:pPr>
    <w:rPr>
      <w:rFonts w:ascii="Calibri" w:eastAsia="MS Mincho" w:hAnsi="Calibri"/>
      <w:sz w:val="22"/>
      <w:szCs w:val="24"/>
    </w:rPr>
  </w:style>
  <w:style w:type="paragraph" w:customStyle="1" w:styleId="NOTE">
    <w:name w:val="NOTE"/>
    <w:basedOn w:val="Normal"/>
    <w:qFormat/>
    <w:rsid w:val="006D076A"/>
    <w:pPr>
      <w:keepLines/>
      <w:suppressAutoHyphens/>
      <w:spacing w:after="180"/>
      <w:ind w:left="562" w:hanging="562"/>
    </w:pPr>
    <w:rPr>
      <w:rFonts w:ascii="Calibri" w:eastAsia="MS Mincho" w:hAnsi="Calibri"/>
      <w:sz w:val="22"/>
      <w:szCs w:val="22"/>
    </w:rPr>
  </w:style>
  <w:style w:type="table" w:styleId="TableGrid">
    <w:name w:val="Table Grid"/>
    <w:basedOn w:val="TableNormal"/>
    <w:uiPriority w:val="59"/>
    <w:rsid w:val="000430A0"/>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A93632"/>
    <w:pPr>
      <w:autoSpaceDE w:val="0"/>
      <w:autoSpaceDN w:val="0"/>
      <w:adjustRightInd w:val="0"/>
      <w:spacing w:line="241" w:lineRule="atLeast"/>
    </w:pPr>
    <w:rPr>
      <w:rFonts w:ascii="Times" w:hAnsi="Times" w:cs="Times"/>
      <w:szCs w:val="24"/>
    </w:rPr>
  </w:style>
  <w:style w:type="character" w:customStyle="1" w:styleId="A1">
    <w:name w:val="A1"/>
    <w:uiPriority w:val="99"/>
    <w:rsid w:val="00A93632"/>
    <w:rPr>
      <w:color w:val="000000"/>
      <w:sz w:val="20"/>
      <w:szCs w:val="20"/>
    </w:rPr>
  </w:style>
  <w:style w:type="paragraph" w:customStyle="1" w:styleId="Pa1">
    <w:name w:val="Pa1"/>
    <w:basedOn w:val="Normal"/>
    <w:next w:val="Normal"/>
    <w:uiPriority w:val="99"/>
    <w:rsid w:val="00A93632"/>
    <w:pPr>
      <w:autoSpaceDE w:val="0"/>
      <w:autoSpaceDN w:val="0"/>
      <w:adjustRightInd w:val="0"/>
      <w:spacing w:line="241" w:lineRule="atLeast"/>
    </w:pPr>
    <w:rPr>
      <w:rFonts w:ascii="Times" w:hAnsi="Times" w:cs="Times"/>
      <w:szCs w:val="24"/>
    </w:rPr>
  </w:style>
  <w:style w:type="character" w:customStyle="1" w:styleId="A3">
    <w:name w:val="A3"/>
    <w:uiPriority w:val="99"/>
    <w:rsid w:val="00A93632"/>
    <w:rPr>
      <w:rFonts w:ascii="Helvetica" w:hAnsi="Helvetica" w:cs="Helvetica"/>
      <w:b/>
      <w:bCs/>
      <w:color w:val="000000"/>
      <w:sz w:val="16"/>
      <w:szCs w:val="16"/>
    </w:rPr>
  </w:style>
  <w:style w:type="paragraph" w:customStyle="1" w:styleId="Pa21">
    <w:name w:val="Pa21"/>
    <w:basedOn w:val="Normal"/>
    <w:next w:val="Normal"/>
    <w:uiPriority w:val="99"/>
    <w:rsid w:val="00A93632"/>
    <w:pPr>
      <w:autoSpaceDE w:val="0"/>
      <w:autoSpaceDN w:val="0"/>
      <w:adjustRightInd w:val="0"/>
      <w:spacing w:line="241" w:lineRule="atLeast"/>
    </w:pPr>
    <w:rPr>
      <w:rFonts w:ascii="Times" w:hAnsi="Times" w:cs="Times"/>
      <w:szCs w:val="24"/>
    </w:rPr>
  </w:style>
  <w:style w:type="paragraph" w:customStyle="1" w:styleId="Pa31">
    <w:name w:val="Pa31"/>
    <w:basedOn w:val="Normal"/>
    <w:next w:val="Normal"/>
    <w:uiPriority w:val="99"/>
    <w:rsid w:val="00A93632"/>
    <w:pPr>
      <w:autoSpaceDE w:val="0"/>
      <w:autoSpaceDN w:val="0"/>
      <w:adjustRightInd w:val="0"/>
      <w:spacing w:line="241" w:lineRule="atLeast"/>
    </w:pPr>
    <w:rPr>
      <w:rFonts w:ascii="Times" w:hAnsi="Times" w:cs="Times"/>
      <w:szCs w:val="24"/>
    </w:rPr>
  </w:style>
  <w:style w:type="character" w:customStyle="1" w:styleId="A15">
    <w:name w:val="A15"/>
    <w:uiPriority w:val="99"/>
    <w:rsid w:val="00A93632"/>
    <w:rPr>
      <w:i/>
      <w:iCs/>
      <w:color w:val="000000"/>
      <w:sz w:val="20"/>
      <w:szCs w:val="20"/>
      <w:u w:val="single"/>
    </w:rPr>
  </w:style>
  <w:style w:type="paragraph" w:customStyle="1" w:styleId="Pa28">
    <w:name w:val="Pa28"/>
    <w:basedOn w:val="Normal"/>
    <w:next w:val="Normal"/>
    <w:uiPriority w:val="99"/>
    <w:rsid w:val="00A93632"/>
    <w:pPr>
      <w:autoSpaceDE w:val="0"/>
      <w:autoSpaceDN w:val="0"/>
      <w:adjustRightInd w:val="0"/>
      <w:spacing w:line="241" w:lineRule="atLeast"/>
    </w:pPr>
    <w:rPr>
      <w:rFonts w:ascii="Times" w:hAnsi="Times" w:cs="Times"/>
      <w:szCs w:val="24"/>
    </w:rPr>
  </w:style>
  <w:style w:type="paragraph" w:customStyle="1" w:styleId="Pa87">
    <w:name w:val="Pa87"/>
    <w:basedOn w:val="Normal"/>
    <w:next w:val="Normal"/>
    <w:uiPriority w:val="99"/>
    <w:rsid w:val="00A93632"/>
    <w:pPr>
      <w:autoSpaceDE w:val="0"/>
      <w:autoSpaceDN w:val="0"/>
      <w:adjustRightInd w:val="0"/>
      <w:spacing w:line="201" w:lineRule="atLeast"/>
    </w:pPr>
    <w:rPr>
      <w:rFonts w:ascii="Times" w:hAnsi="Times" w:cs="Times"/>
      <w:szCs w:val="24"/>
    </w:rPr>
  </w:style>
  <w:style w:type="character" w:customStyle="1" w:styleId="A2">
    <w:name w:val="A2"/>
    <w:uiPriority w:val="99"/>
    <w:rsid w:val="00020D5E"/>
    <w:rPr>
      <w:color w:val="000000"/>
      <w:sz w:val="10"/>
      <w:szCs w:val="10"/>
    </w:rPr>
  </w:style>
  <w:style w:type="paragraph" w:customStyle="1" w:styleId="Default">
    <w:name w:val="Default"/>
    <w:rsid w:val="00020D5E"/>
    <w:pPr>
      <w:autoSpaceDE w:val="0"/>
      <w:autoSpaceDN w:val="0"/>
      <w:adjustRightInd w:val="0"/>
    </w:pPr>
    <w:rPr>
      <w:rFonts w:ascii="Times" w:hAnsi="Times" w:cs="Times"/>
      <w:color w:val="000000"/>
      <w:sz w:val="24"/>
      <w:szCs w:val="24"/>
    </w:rPr>
  </w:style>
  <w:style w:type="character" w:styleId="FollowedHyperlink">
    <w:name w:val="FollowedHyperlink"/>
    <w:uiPriority w:val="99"/>
    <w:semiHidden/>
    <w:unhideWhenUsed/>
    <w:rsid w:val="00FA7626"/>
    <w:rPr>
      <w:color w:val="954F72"/>
      <w:u w:val="single"/>
    </w:rPr>
  </w:style>
  <w:style w:type="paragraph" w:styleId="PlainText">
    <w:name w:val="Plain Text"/>
    <w:basedOn w:val="Normal"/>
    <w:link w:val="PlainTextChar"/>
    <w:uiPriority w:val="99"/>
    <w:unhideWhenUsed/>
    <w:rsid w:val="00612B6B"/>
    <w:pPr>
      <w:keepLines/>
    </w:pPr>
    <w:rPr>
      <w:rFonts w:ascii="Courier" w:hAnsi="Courier"/>
      <w:sz w:val="21"/>
      <w:szCs w:val="21"/>
    </w:rPr>
  </w:style>
  <w:style w:type="character" w:customStyle="1" w:styleId="PlainTextChar">
    <w:name w:val="Plain Text Char"/>
    <w:link w:val="PlainText"/>
    <w:uiPriority w:val="99"/>
    <w:rsid w:val="00612B6B"/>
    <w:rPr>
      <w:rFonts w:ascii="Courier" w:hAnsi="Courier"/>
      <w:sz w:val="21"/>
      <w:szCs w:val="21"/>
    </w:rPr>
  </w:style>
  <w:style w:type="paragraph" w:customStyle="1" w:styleId="BulletReg">
    <w:name w:val="Bullet Reg"/>
    <w:basedOn w:val="Normal"/>
    <w:qFormat/>
    <w:rsid w:val="00612B6B"/>
    <w:pPr>
      <w:keepLines/>
      <w:widowControl w:val="0"/>
      <w:suppressAutoHyphens/>
      <w:autoSpaceDE w:val="0"/>
      <w:autoSpaceDN w:val="0"/>
      <w:adjustRightInd w:val="0"/>
      <w:spacing w:after="120"/>
      <w:ind w:left="173" w:hanging="173"/>
      <w:textAlignment w:val="center"/>
    </w:pPr>
    <w:rPr>
      <w:rFonts w:ascii="Calibri" w:hAnsi="Calibri" w:cs="Times-Roman"/>
      <w:color w:val="000000"/>
      <w:sz w:val="22"/>
      <w:szCs w:val="22"/>
      <w:lang w:eastAsia="ja-JP"/>
    </w:rPr>
  </w:style>
  <w:style w:type="paragraph" w:customStyle="1" w:styleId="BulletRegnospace">
    <w:name w:val="Bullet Reg nospace"/>
    <w:basedOn w:val="BulletReg"/>
    <w:qFormat/>
    <w:rsid w:val="00612B6B"/>
    <w:pPr>
      <w:spacing w:after="0"/>
      <w:ind w:left="187" w:hanging="187"/>
    </w:pPr>
  </w:style>
  <w:style w:type="paragraph" w:customStyle="1" w:styleId="REDSUB">
    <w:name w:val="RED SUB"/>
    <w:basedOn w:val="SmallerSubhead"/>
    <w:qFormat/>
    <w:rsid w:val="008E6CC2"/>
    <w:rPr>
      <w:color w:val="FF0000"/>
      <w:sz w:val="28"/>
      <w:szCs w:val="28"/>
    </w:rPr>
  </w:style>
  <w:style w:type="character" w:styleId="CommentReference">
    <w:name w:val="annotation reference"/>
    <w:uiPriority w:val="99"/>
    <w:semiHidden/>
    <w:unhideWhenUsed/>
    <w:rsid w:val="00973C3F"/>
    <w:rPr>
      <w:sz w:val="16"/>
      <w:szCs w:val="16"/>
    </w:rPr>
  </w:style>
  <w:style w:type="paragraph" w:styleId="CommentText">
    <w:name w:val="annotation text"/>
    <w:basedOn w:val="Normal"/>
    <w:link w:val="CommentTextChar"/>
    <w:uiPriority w:val="99"/>
    <w:semiHidden/>
    <w:unhideWhenUsed/>
    <w:rsid w:val="00973C3F"/>
    <w:rPr>
      <w:sz w:val="20"/>
    </w:rPr>
  </w:style>
  <w:style w:type="character" w:customStyle="1" w:styleId="CommentTextChar">
    <w:name w:val="Comment Text Char"/>
    <w:basedOn w:val="DefaultParagraphFont"/>
    <w:link w:val="CommentText"/>
    <w:uiPriority w:val="99"/>
    <w:semiHidden/>
    <w:rsid w:val="00973C3F"/>
  </w:style>
  <w:style w:type="paragraph" w:styleId="CommentSubject">
    <w:name w:val="annotation subject"/>
    <w:basedOn w:val="CommentText"/>
    <w:next w:val="CommentText"/>
    <w:link w:val="CommentSubjectChar"/>
    <w:uiPriority w:val="99"/>
    <w:semiHidden/>
    <w:unhideWhenUsed/>
    <w:rsid w:val="00973C3F"/>
    <w:rPr>
      <w:b/>
      <w:bCs/>
    </w:rPr>
  </w:style>
  <w:style w:type="character" w:customStyle="1" w:styleId="CommentSubjectChar">
    <w:name w:val="Comment Subject Char"/>
    <w:link w:val="CommentSubject"/>
    <w:uiPriority w:val="99"/>
    <w:semiHidden/>
    <w:rsid w:val="00973C3F"/>
    <w:rPr>
      <w:b/>
      <w:bCs/>
    </w:rPr>
  </w:style>
  <w:style w:type="paragraph" w:styleId="Revision">
    <w:name w:val="Revision"/>
    <w:hidden/>
    <w:uiPriority w:val="99"/>
    <w:semiHidden/>
    <w:rsid w:val="00973C3F"/>
    <w:rPr>
      <w:sz w:val="24"/>
    </w:rPr>
  </w:style>
  <w:style w:type="character" w:styleId="Emphasis">
    <w:name w:val="Emphasis"/>
    <w:uiPriority w:val="20"/>
    <w:qFormat/>
    <w:rsid w:val="00176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r.realtor/natmeet.ns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3" ma:contentTypeDescription="Create a new document." ma:contentTypeScope="" ma:versionID="3684c7cbd309f1a988c29894cb91dc32">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39b5bed1adc4ce1036ddfa870bf1fb6a"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C3367-81D5-40C0-A4BE-2E528503A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44ACC-2D18-4AED-B8EB-9D45F3FB24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430F18-C191-48E4-AF64-8A1110C348FD}">
  <ds:schemaRefs>
    <ds:schemaRef ds:uri="http://schemas.openxmlformats.org/officeDocument/2006/bibliography"/>
  </ds:schemaRefs>
</ds:datastoreItem>
</file>

<file path=customXml/itemProps4.xml><?xml version="1.0" encoding="utf-8"?>
<ds:datastoreItem xmlns:ds="http://schemas.openxmlformats.org/officeDocument/2006/customXml" ds:itemID="{77314743-EA76-4638-9A19-BF45F0DA0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Summary of Professional Standards Changes for 2001</vt:lpstr>
    </vt:vector>
  </TitlesOfParts>
  <Company>NAR</Company>
  <LinksUpToDate>false</LinksUpToDate>
  <CharactersWithSpaces>18131</CharactersWithSpaces>
  <SharedDoc>false</SharedDoc>
  <HLinks>
    <vt:vector size="6" baseType="variant">
      <vt:variant>
        <vt:i4>2162747</vt:i4>
      </vt:variant>
      <vt:variant>
        <vt:i4>0</vt:i4>
      </vt:variant>
      <vt:variant>
        <vt:i4>0</vt:i4>
      </vt:variant>
      <vt:variant>
        <vt:i4>5</vt:i4>
      </vt:variant>
      <vt:variant>
        <vt:lpwstr>http://nar.realtor/natmeet.nsf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Professional Standards Changes for 2001</dc:title>
  <dc:subject/>
  <dc:creator>N.A.R.</dc:creator>
  <cp:keywords/>
  <cp:lastModifiedBy>Melinda Evans</cp:lastModifiedBy>
  <cp:revision>2</cp:revision>
  <cp:lastPrinted>2022-03-02T14:50:00Z</cp:lastPrinted>
  <dcterms:created xsi:type="dcterms:W3CDTF">2022-03-16T19:30:00Z</dcterms:created>
  <dcterms:modified xsi:type="dcterms:W3CDTF">2022-03-16T19:30:00Z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0x010100CDE964E94198CE459CA3B005DA1C39A0</vt:lpwstr>
  </property>
</Properties>
</file>